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630"/>
        </w:tabs>
        <w:spacing w:line="560" w:lineRule="exact"/>
        <w:jc w:val="center"/>
        <w:rPr>
          <w:rFonts w:ascii="方正小标宋简体" w:eastAsia="方正小标宋简体"/>
          <w:color w:val="FF0000"/>
          <w:sz w:val="44"/>
          <w:szCs w:val="44"/>
        </w:rPr>
      </w:pPr>
      <w:r>
        <w:rPr>
          <w:rFonts w:hint="eastAsia" w:ascii="方正小标宋简体" w:eastAsia="方正小标宋简体"/>
          <w:color w:val="FF0000"/>
          <w:sz w:val="44"/>
          <w:szCs w:val="44"/>
        </w:rPr>
        <w:t>汉中市交通运输局</w:t>
      </w:r>
    </w:p>
    <w:p>
      <w:pPr>
        <w:tabs>
          <w:tab w:val="left" w:pos="3630"/>
        </w:tabs>
        <w:spacing w:line="560" w:lineRule="exact"/>
        <w:jc w:val="center"/>
        <w:rPr>
          <w:rFonts w:ascii="方正小标宋简体" w:eastAsia="方正小标宋简体"/>
          <w:color w:val="FF0000"/>
          <w:sz w:val="44"/>
          <w:szCs w:val="44"/>
        </w:rPr>
      </w:pPr>
      <w:r>
        <w:rPr>
          <w:rFonts w:hint="eastAsia" w:ascii="方正小标宋简体" w:eastAsia="方正小标宋简体"/>
          <w:color w:val="FF0000"/>
          <w:sz w:val="44"/>
          <w:szCs w:val="44"/>
        </w:rPr>
        <w:t>汉中市委文明办</w:t>
      </w:r>
    </w:p>
    <w:p>
      <w:pPr>
        <w:tabs>
          <w:tab w:val="left" w:pos="3630"/>
        </w:tabs>
        <w:spacing w:line="560" w:lineRule="exact"/>
        <w:jc w:val="center"/>
        <w:rPr>
          <w:rFonts w:ascii="方正小标宋简体" w:eastAsia="方正小标宋简体"/>
          <w:color w:val="FF0000"/>
          <w:sz w:val="44"/>
          <w:szCs w:val="44"/>
        </w:rPr>
      </w:pPr>
      <w:r>
        <w:rPr>
          <w:rFonts w:hint="eastAsia" w:ascii="方正小标宋简体" w:eastAsia="方正小标宋简体"/>
          <w:color w:val="FF0000"/>
          <w:sz w:val="44"/>
          <w:szCs w:val="44"/>
        </w:rPr>
        <w:t>汉中市委网信办</w:t>
      </w:r>
    </w:p>
    <w:p>
      <w:pPr>
        <w:tabs>
          <w:tab w:val="left" w:pos="3630"/>
        </w:tabs>
        <w:spacing w:line="560" w:lineRule="exact"/>
        <w:jc w:val="center"/>
        <w:rPr>
          <w:rFonts w:ascii="方正小标宋简体" w:eastAsia="方正小标宋简体"/>
          <w:color w:val="FF0000"/>
          <w:sz w:val="44"/>
          <w:szCs w:val="44"/>
        </w:rPr>
      </w:pPr>
      <w:r>
        <w:rPr>
          <w:rFonts w:hint="eastAsia" w:ascii="方正小标宋简体" w:eastAsia="方正小标宋简体"/>
          <w:color w:val="FF0000"/>
          <w:sz w:val="44"/>
          <w:szCs w:val="44"/>
        </w:rPr>
        <w:t>汉中市发展和改革委员会</w:t>
      </w:r>
    </w:p>
    <w:p>
      <w:pPr>
        <w:tabs>
          <w:tab w:val="left" w:pos="3630"/>
        </w:tabs>
        <w:spacing w:line="560" w:lineRule="exact"/>
        <w:jc w:val="center"/>
        <w:rPr>
          <w:rFonts w:ascii="方正小标宋简体" w:eastAsia="方正小标宋简体"/>
          <w:color w:val="FF0000"/>
          <w:sz w:val="44"/>
          <w:szCs w:val="44"/>
        </w:rPr>
      </w:pPr>
      <w:r>
        <w:rPr>
          <w:rFonts w:hint="eastAsia" w:ascii="方正小标宋简体" w:eastAsia="方正小标宋简体"/>
          <w:color w:val="FF0000"/>
          <w:sz w:val="44"/>
          <w:szCs w:val="44"/>
        </w:rPr>
        <w:t>汉中市工业和信息化局</w:t>
      </w:r>
    </w:p>
    <w:p>
      <w:pPr>
        <w:tabs>
          <w:tab w:val="left" w:pos="3630"/>
        </w:tabs>
        <w:spacing w:line="560" w:lineRule="exact"/>
        <w:jc w:val="center"/>
        <w:rPr>
          <w:rFonts w:ascii="方正小标宋简体" w:eastAsia="方正小标宋简体"/>
          <w:color w:val="FF0000"/>
          <w:sz w:val="44"/>
          <w:szCs w:val="44"/>
        </w:rPr>
      </w:pPr>
      <w:r>
        <w:rPr>
          <w:rFonts w:hint="eastAsia" w:ascii="方正小标宋简体" w:eastAsia="方正小标宋简体"/>
          <w:color w:val="FF0000"/>
          <w:sz w:val="44"/>
          <w:szCs w:val="44"/>
        </w:rPr>
        <w:t>汉中市城市管理局</w:t>
      </w:r>
    </w:p>
    <w:p>
      <w:pPr>
        <w:tabs>
          <w:tab w:val="left" w:pos="3630"/>
        </w:tabs>
        <w:spacing w:line="560" w:lineRule="exact"/>
        <w:jc w:val="center"/>
        <w:rPr>
          <w:rFonts w:ascii="方正小标宋简体" w:eastAsia="方正小标宋简体"/>
          <w:color w:val="FF0000"/>
          <w:sz w:val="44"/>
          <w:szCs w:val="44"/>
        </w:rPr>
      </w:pPr>
      <w:r>
        <w:rPr>
          <w:rFonts w:hint="eastAsia" w:ascii="方正小标宋简体" w:eastAsia="方正小标宋简体"/>
          <w:color w:val="FF0000"/>
          <w:sz w:val="44"/>
          <w:szCs w:val="44"/>
        </w:rPr>
        <w:t>汉中市公安局</w:t>
      </w:r>
    </w:p>
    <w:p>
      <w:pPr>
        <w:tabs>
          <w:tab w:val="left" w:pos="3630"/>
        </w:tabs>
        <w:spacing w:line="560" w:lineRule="exact"/>
        <w:jc w:val="center"/>
        <w:rPr>
          <w:rFonts w:ascii="方正小标宋简体" w:eastAsia="方正小标宋简体"/>
          <w:color w:val="FF0000"/>
          <w:sz w:val="44"/>
          <w:szCs w:val="44"/>
        </w:rPr>
      </w:pPr>
      <w:r>
        <w:rPr>
          <w:rFonts w:hint="eastAsia" w:ascii="方正小标宋简体" w:eastAsia="方正小标宋简体"/>
          <w:color w:val="FF0000"/>
          <w:sz w:val="44"/>
          <w:szCs w:val="44"/>
        </w:rPr>
        <w:t>汉中市市场监督管理局</w:t>
      </w:r>
    </w:p>
    <w:p>
      <w:pPr>
        <w:spacing w:line="560" w:lineRule="exact"/>
        <w:jc w:val="center"/>
        <w:rPr>
          <w:rFonts w:ascii="方正小标宋简体" w:eastAsia="方正小标宋简体"/>
          <w:color w:val="FF0000"/>
          <w:sz w:val="44"/>
          <w:szCs w:val="44"/>
        </w:rPr>
      </w:pPr>
      <w:r>
        <w:rPr>
          <w:rFonts w:hint="eastAsia" w:ascii="方正小标宋简体" w:eastAsia="方正小标宋简体"/>
          <w:color w:val="FF0000"/>
          <w:sz w:val="44"/>
          <w:szCs w:val="44"/>
        </w:rPr>
        <w:t>汉中市自然资源局</w:t>
      </w:r>
    </w:p>
    <w:p>
      <w:pPr>
        <w:spacing w:line="560" w:lineRule="exact"/>
        <w:jc w:val="center"/>
        <w:rPr>
          <w:rFonts w:ascii="方正小标宋简体" w:eastAsia="方正小标宋简体"/>
          <w:color w:val="FF0000"/>
          <w:sz w:val="44"/>
          <w:szCs w:val="44"/>
        </w:rPr>
      </w:pPr>
      <w:r>
        <w:rPr>
          <w:rFonts w:hint="eastAsia" w:ascii="方正小标宋简体" w:eastAsia="方正小标宋简体"/>
          <w:color w:val="FF0000"/>
          <w:sz w:val="44"/>
          <w:szCs w:val="44"/>
        </w:rPr>
        <w:t>汉中市住房和城乡建设局</w:t>
      </w:r>
    </w:p>
    <w:p>
      <w:pPr>
        <w:spacing w:line="560" w:lineRule="exact"/>
        <w:jc w:val="center"/>
        <w:rPr>
          <w:rFonts w:ascii="方正小标宋简体" w:eastAsia="方正小标宋简体"/>
          <w:color w:val="FF0000"/>
          <w:sz w:val="44"/>
          <w:szCs w:val="44"/>
        </w:rPr>
      </w:pPr>
      <w:r>
        <w:rPr>
          <w:rFonts w:hint="eastAsia" w:ascii="方正小标宋简体" w:eastAsia="方正小标宋简体"/>
          <w:color w:val="FF0000"/>
          <w:sz w:val="44"/>
          <w:szCs w:val="44"/>
        </w:rPr>
        <w:t>汉中市文化和旅游局</w:t>
      </w:r>
    </w:p>
    <w:p>
      <w:pPr>
        <w:spacing w:line="560" w:lineRule="exact"/>
        <w:jc w:val="center"/>
        <w:rPr>
          <w:rFonts w:ascii="方正小标宋简体" w:eastAsia="方正小标宋简体"/>
          <w:color w:val="FF0000"/>
          <w:sz w:val="44"/>
          <w:szCs w:val="44"/>
        </w:rPr>
      </w:pPr>
      <w:r>
        <w:rPr>
          <w:rFonts w:hint="eastAsia" w:ascii="方正小标宋简体" w:eastAsia="方正小标宋简体"/>
          <w:color w:val="FF0000"/>
          <w:sz w:val="44"/>
          <w:szCs w:val="44"/>
        </w:rPr>
        <w:t>中国人民银行汉中市中心支行</w:t>
      </w:r>
    </w:p>
    <w:p>
      <w:pPr>
        <w:spacing w:line="240" w:lineRule="exact"/>
        <w:ind w:hanging="17"/>
        <w:jc w:val="center"/>
        <w:rPr>
          <w:rFonts w:ascii="方正小标宋简体" w:hAnsi="方正小标宋简体" w:eastAsia="方正小标宋简体" w:cs="方正小标宋简体"/>
          <w:sz w:val="10"/>
          <w:szCs w:val="10"/>
        </w:rPr>
      </w:pPr>
    </w:p>
    <w:p>
      <w:pPr>
        <w:spacing w:line="240" w:lineRule="exact"/>
        <w:ind w:hanging="17"/>
        <w:jc w:val="center"/>
        <w:rPr>
          <w:rFonts w:ascii="方正小标宋简体" w:hAnsi="方正小标宋简体" w:eastAsia="方正小标宋简体" w:cs="方正小标宋简体"/>
          <w:sz w:val="10"/>
          <w:szCs w:val="10"/>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关于切实加强汉中市中心城区互联网租赁</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自行车规范管理工作的通知</w:t>
      </w:r>
    </w:p>
    <w:p>
      <w:pPr>
        <w:spacing w:line="560" w:lineRule="atLeast"/>
        <w:jc w:val="center"/>
        <w:rPr>
          <w:rFonts w:ascii="仿宋_GB2312" w:hAnsi="仿宋_GB2312" w:eastAsia="仿宋_GB2312" w:cs="仿宋_GB2312"/>
          <w:color w:val="000000"/>
          <w:sz w:val="32"/>
          <w:szCs w:val="32"/>
          <w:shd w:val="clear" w:color="auto" w:fill="FFFFFF"/>
        </w:rPr>
      </w:pPr>
      <w:r>
        <w:rPr>
          <w:rFonts w:hint="eastAsia" w:ascii="楷体" w:hAnsi="楷体" w:eastAsia="楷体" w:cs="楷体"/>
          <w:sz w:val="32"/>
          <w:szCs w:val="32"/>
        </w:rPr>
        <w:t>（征求意见稿）</w:t>
      </w:r>
    </w:p>
    <w:p>
      <w:pPr>
        <w:tabs>
          <w:tab w:val="left" w:pos="3630"/>
        </w:tabs>
        <w:spacing w:line="520" w:lineRule="exact"/>
        <w:rPr>
          <w:rFonts w:eastAsia="仿宋_GB2312"/>
          <w:sz w:val="32"/>
          <w:szCs w:val="32"/>
        </w:rPr>
      </w:pPr>
    </w:p>
    <w:p>
      <w:pPr>
        <w:tabs>
          <w:tab w:val="left" w:pos="3630"/>
        </w:tabs>
        <w:spacing w:line="560" w:lineRule="exact"/>
        <w:rPr>
          <w:rFonts w:eastAsia="仿宋_GB2312"/>
          <w:sz w:val="32"/>
          <w:szCs w:val="32"/>
        </w:rPr>
      </w:pPr>
      <w:r>
        <w:rPr>
          <w:rFonts w:eastAsia="仿宋_GB2312"/>
          <w:color w:val="000000"/>
          <w:sz w:val="32"/>
          <w:szCs w:val="32"/>
          <w:shd w:val="clear" w:color="auto" w:fill="FFFFFF"/>
        </w:rPr>
        <w:t>汉台区及南郑区人民政府，汉中经济开发区、兴汉新区、汉中航空经济开发区管委会、滨江新区发展服务中心，市直各有关部门</w:t>
      </w:r>
      <w:r>
        <w:rPr>
          <w:rFonts w:eastAsia="仿宋_GB2312"/>
          <w:sz w:val="32"/>
          <w:szCs w:val="32"/>
        </w:rPr>
        <w:t>：</w:t>
      </w:r>
    </w:p>
    <w:p>
      <w:pPr>
        <w:spacing w:line="56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为进一步规范中心城区互联网租赁自行车发展，提升互联网租赁自行车管理服务水平，更好的满足市民便捷出行需求，有效维护良好城市</w:t>
      </w:r>
      <w:r>
        <w:rPr>
          <w:rFonts w:eastAsia="仿宋_GB2312"/>
          <w:sz w:val="32"/>
          <w:szCs w:val="32"/>
          <w:shd w:val="clear" w:color="auto" w:fill="FFFFFF"/>
        </w:rPr>
        <w:t>秩序，保障各方合法权益，根据《中华人民共和国道路交通安全法》《陕西省城市管理综合执法条例》《汉中市电动车管理条例》《电动自行车安全技术规范》（GB17761—2018）、</w:t>
      </w:r>
      <w:r>
        <w:rPr>
          <w:rFonts w:eastAsia="仿宋_GB2312"/>
          <w:sz w:val="32"/>
          <w:szCs w:val="32"/>
        </w:rPr>
        <w:t>《自行车安全要求》（GB/T3565.2—2022）、</w:t>
      </w:r>
      <w:r>
        <w:rPr>
          <w:rFonts w:eastAsia="仿宋_GB2312"/>
          <w:sz w:val="32"/>
          <w:szCs w:val="32"/>
          <w:shd w:val="clear" w:color="auto" w:fill="FFFFFF"/>
        </w:rPr>
        <w:t>交通运输部等10部门《关于鼓励和规范互联网租赁自行车发展的指导意见》（交</w:t>
      </w:r>
      <w:r>
        <w:rPr>
          <w:rFonts w:eastAsia="仿宋_GB2312"/>
          <w:color w:val="000000"/>
          <w:sz w:val="32"/>
          <w:szCs w:val="32"/>
          <w:shd w:val="clear" w:color="auto" w:fill="FFFFFF"/>
        </w:rPr>
        <w:t>运发〔2017〕109号）、陕西省交通运输厅等10部门《陕西省关于鼓励和规范互联网租赁自行车发展的实施意见》（陕交发〔2018〕8号）等法律法规和规范性文件，以及《汉中市中心城区互联网租赁自行车规范管理工作实施方案》（汉市创文办发〔2022〕23号）要求，现就切实加强汉中市中心城区互联网租赁自行车规范管理工作有关事宜通知如下：</w:t>
      </w:r>
    </w:p>
    <w:p>
      <w:pPr>
        <w:pStyle w:val="16"/>
        <w:shd w:val="clear" w:color="auto" w:fill="FFFFFF"/>
        <w:spacing w:before="0" w:after="0" w:line="560" w:lineRule="exact"/>
        <w:ind w:firstLine="64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一、指导思想</w:t>
      </w:r>
    </w:p>
    <w:p>
      <w:pPr>
        <w:pStyle w:val="16"/>
        <w:shd w:val="clear" w:color="auto" w:fill="FFFFFF"/>
        <w:spacing w:before="0" w:after="0" w:line="560" w:lineRule="exact"/>
        <w:ind w:firstLine="64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牢固树立和贯彻落实创新、协调、绿色、开放、共享的发展理念，合理配置城市公共资源，倡导市民绿色出行，通过规范部门监管、落实企业主体责任和引导市民依法文明骑行，形成政府、企业和社会多方合力，打造安全、有序、便民的城市绿色交通系统，更好地满足市民“最后一公里”出行需求。</w:t>
      </w:r>
    </w:p>
    <w:p>
      <w:pPr>
        <w:pStyle w:val="16"/>
        <w:shd w:val="clear" w:color="auto" w:fill="FFFFFF"/>
        <w:spacing w:before="0" w:after="0" w:line="560" w:lineRule="exact"/>
        <w:ind w:firstLine="64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二、工作原则</w:t>
      </w:r>
    </w:p>
    <w:p>
      <w:pPr>
        <w:widowControl/>
        <w:spacing w:line="560" w:lineRule="exact"/>
        <w:ind w:firstLine="640" w:firstLineChars="200"/>
        <w:rPr>
          <w:rFonts w:eastAsia="仿宋_GB2312"/>
          <w:color w:val="000000"/>
          <w:kern w:val="0"/>
          <w:sz w:val="32"/>
          <w:szCs w:val="32"/>
          <w:shd w:val="clear" w:color="auto" w:fill="FFFFFF"/>
        </w:rPr>
      </w:pPr>
      <w:r>
        <w:rPr>
          <w:rFonts w:hint="eastAsia" w:ascii="黑体" w:hAnsi="黑体" w:eastAsia="黑体" w:cs="楷体_GB2312"/>
          <w:color w:val="000000"/>
          <w:kern w:val="0"/>
          <w:sz w:val="32"/>
          <w:szCs w:val="32"/>
          <w:shd w:val="clear" w:color="auto" w:fill="FFFFFF"/>
        </w:rPr>
        <w:t>（一）坚持以人为本。</w:t>
      </w:r>
      <w:r>
        <w:rPr>
          <w:rFonts w:eastAsia="仿宋_GB2312"/>
          <w:color w:val="000000"/>
          <w:kern w:val="0"/>
          <w:sz w:val="32"/>
          <w:szCs w:val="32"/>
          <w:shd w:val="clear" w:color="auto" w:fill="FFFFFF"/>
        </w:rPr>
        <w:t>把方便市民出行作为首要原则，企业依法规范经营，使用者依法使用、文明骑行，构建安全、便捷、舒适的互联网租赁自行车出行服务体系。</w:t>
      </w:r>
    </w:p>
    <w:p>
      <w:pPr>
        <w:widowControl/>
        <w:spacing w:line="560" w:lineRule="exact"/>
        <w:ind w:firstLine="640" w:firstLineChars="200"/>
        <w:rPr>
          <w:rFonts w:eastAsia="仿宋_GB2312"/>
          <w:color w:val="000000"/>
          <w:kern w:val="0"/>
          <w:sz w:val="32"/>
          <w:szCs w:val="32"/>
          <w:shd w:val="clear" w:color="auto" w:fill="FFFFFF"/>
        </w:rPr>
      </w:pPr>
      <w:r>
        <w:rPr>
          <w:rFonts w:ascii="黑体" w:hAnsi="黑体" w:eastAsia="黑体" w:cs="楷体_GB2312"/>
          <w:color w:val="000000"/>
          <w:kern w:val="0"/>
          <w:sz w:val="32"/>
          <w:szCs w:val="32"/>
          <w:shd w:val="clear" w:color="auto" w:fill="FFFFFF"/>
        </w:rPr>
        <w:t>（二）坚持统一规划。</w:t>
      </w:r>
      <w:r>
        <w:rPr>
          <w:rFonts w:eastAsia="仿宋_GB2312"/>
          <w:color w:val="000000"/>
          <w:kern w:val="0"/>
          <w:sz w:val="32"/>
          <w:szCs w:val="32"/>
          <w:shd w:val="clear" w:color="auto" w:fill="FFFFFF"/>
        </w:rPr>
        <w:t>实施政策引领、市级统筹、部门履责、条块结合，制订发展规划，科学控制投放规模，实行总量控制、配额管理，加快完善配套设施。</w:t>
      </w:r>
    </w:p>
    <w:p>
      <w:pPr>
        <w:widowControl/>
        <w:spacing w:line="560" w:lineRule="exact"/>
        <w:ind w:firstLine="640" w:firstLineChars="200"/>
        <w:rPr>
          <w:rFonts w:eastAsia="仿宋_GB2312"/>
          <w:color w:val="000000"/>
          <w:kern w:val="0"/>
          <w:sz w:val="32"/>
          <w:szCs w:val="32"/>
          <w:shd w:val="clear" w:color="auto" w:fill="FFFFFF"/>
        </w:rPr>
      </w:pPr>
      <w:r>
        <w:rPr>
          <w:rFonts w:ascii="黑体" w:hAnsi="黑体" w:eastAsia="黑体" w:cs="楷体_GB2312"/>
          <w:color w:val="000000"/>
          <w:kern w:val="0"/>
          <w:sz w:val="32"/>
          <w:szCs w:val="32"/>
          <w:shd w:val="clear" w:color="auto" w:fill="FFFFFF"/>
        </w:rPr>
        <w:t>（三）坚持规范有序。</w:t>
      </w:r>
      <w:r>
        <w:rPr>
          <w:rFonts w:eastAsia="仿宋_GB2312"/>
          <w:color w:val="000000"/>
          <w:kern w:val="0"/>
          <w:sz w:val="32"/>
          <w:szCs w:val="32"/>
          <w:shd w:val="clear" w:color="auto" w:fill="FFFFFF"/>
        </w:rPr>
        <w:t xml:space="preserve">突出鼓励和规范，落实企业主体责任，依法规范企业经营，引导用户守诚信、讲文明，维护正常运行和停放秩序。 </w:t>
      </w:r>
    </w:p>
    <w:p>
      <w:pPr>
        <w:pStyle w:val="16"/>
        <w:shd w:val="clear" w:color="auto" w:fill="FFFFFF"/>
        <w:spacing w:before="0" w:after="0" w:line="560" w:lineRule="exact"/>
        <w:ind w:firstLine="640"/>
        <w:jc w:val="both"/>
        <w:rPr>
          <w:rFonts w:ascii="Times New Roman" w:hAnsi="Times New Roman" w:eastAsia="仿宋_GB2312" w:cs="Times New Roman"/>
          <w:color w:val="000000"/>
          <w:sz w:val="32"/>
          <w:szCs w:val="32"/>
          <w:shd w:val="clear" w:color="auto" w:fill="FFFFFF"/>
        </w:rPr>
      </w:pPr>
      <w:r>
        <w:rPr>
          <w:rFonts w:ascii="黑体" w:hAnsi="黑体" w:eastAsia="黑体" w:cs="楷体_GB2312"/>
          <w:color w:val="000000"/>
          <w:sz w:val="32"/>
          <w:szCs w:val="32"/>
          <w:shd w:val="clear" w:color="auto" w:fill="FFFFFF"/>
        </w:rPr>
        <w:t>（四）坚持技术创新。</w:t>
      </w:r>
      <w:r>
        <w:rPr>
          <w:rFonts w:ascii="Times New Roman" w:hAnsi="Times New Roman" w:eastAsia="仿宋_GB2312" w:cs="Times New Roman"/>
          <w:color w:val="000000"/>
          <w:sz w:val="32"/>
          <w:szCs w:val="32"/>
          <w:shd w:val="clear" w:color="auto" w:fill="FFFFFF"/>
        </w:rPr>
        <w:t>运营企业依托现代信息技术在车辆设施设备和服务管理上技术创新，提升互联网租赁自行车管理和服务水平。</w:t>
      </w:r>
    </w:p>
    <w:p>
      <w:pPr>
        <w:widowControl/>
        <w:spacing w:line="560" w:lineRule="exact"/>
        <w:ind w:firstLine="640" w:firstLineChars="200"/>
        <w:rPr>
          <w:rFonts w:eastAsia="仿宋_GB2312"/>
          <w:color w:val="000000"/>
          <w:kern w:val="0"/>
          <w:sz w:val="32"/>
          <w:szCs w:val="32"/>
          <w:shd w:val="clear" w:color="auto" w:fill="FFFFFF"/>
        </w:rPr>
      </w:pPr>
      <w:r>
        <w:rPr>
          <w:rFonts w:ascii="黑体" w:hAnsi="黑体" w:eastAsia="黑体" w:cs="楷体_GB2312"/>
          <w:color w:val="000000"/>
          <w:kern w:val="0"/>
          <w:sz w:val="32"/>
          <w:szCs w:val="32"/>
          <w:shd w:val="clear" w:color="auto" w:fill="FFFFFF"/>
        </w:rPr>
        <w:t>（五）坚持属地管理，多方共治。</w:t>
      </w:r>
      <w:r>
        <w:rPr>
          <w:rFonts w:eastAsia="仿宋_GB2312"/>
          <w:color w:val="000000"/>
          <w:kern w:val="0"/>
          <w:sz w:val="32"/>
          <w:szCs w:val="32"/>
          <w:shd w:val="clear" w:color="auto" w:fill="FFFFFF"/>
        </w:rPr>
        <w:t>区政府、园区管委会（发展服务中心）是互联网租赁自行车管理的责任主体，应建立政府监管、行业自律、企业主责、社会组织和公众共同参与的互联网租赁自行车管理责任体系，形成多方共同治理的局面。</w:t>
      </w:r>
    </w:p>
    <w:p>
      <w:pPr>
        <w:pStyle w:val="16"/>
        <w:shd w:val="clear" w:color="auto" w:fill="FFFFFF"/>
        <w:spacing w:before="0" w:after="0" w:line="560" w:lineRule="exact"/>
        <w:ind w:firstLine="640"/>
        <w:jc w:val="both"/>
        <w:rPr>
          <w:rFonts w:ascii="黑体" w:hAnsi="黑体" w:eastAsia="黑体" w:cs="黑体"/>
          <w:color w:val="000000"/>
          <w:sz w:val="32"/>
          <w:szCs w:val="32"/>
          <w:shd w:val="clear" w:color="auto" w:fill="FFFFFF"/>
        </w:rPr>
      </w:pPr>
      <w:r>
        <w:rPr>
          <w:rFonts w:ascii="黑体" w:hAnsi="黑体" w:eastAsia="黑体" w:cs="黑体"/>
          <w:color w:val="000000"/>
          <w:sz w:val="32"/>
          <w:szCs w:val="32"/>
          <w:shd w:val="clear" w:color="auto" w:fill="FFFFFF"/>
        </w:rPr>
        <w:t>三、责任分工</w:t>
      </w:r>
    </w:p>
    <w:p>
      <w:pPr>
        <w:widowControl/>
        <w:spacing w:line="560" w:lineRule="exact"/>
        <w:ind w:firstLine="640" w:firstLineChars="200"/>
        <w:rPr>
          <w:rFonts w:eastAsia="仿宋_GB2312"/>
          <w:color w:val="000000"/>
          <w:kern w:val="0"/>
          <w:sz w:val="32"/>
          <w:szCs w:val="32"/>
          <w:shd w:val="clear" w:color="auto" w:fill="FFFFFF"/>
        </w:rPr>
      </w:pPr>
      <w:r>
        <w:rPr>
          <w:rFonts w:ascii="黑体" w:hAnsi="黑体" w:eastAsia="黑体" w:cs="楷体_GB2312"/>
          <w:color w:val="000000"/>
          <w:kern w:val="0"/>
          <w:sz w:val="32"/>
          <w:szCs w:val="32"/>
          <w:shd w:val="clear" w:color="auto" w:fill="FFFFFF"/>
        </w:rPr>
        <w:t>（一）区政府、园区管委会（发展服务中心</w:t>
      </w:r>
      <w:r>
        <w:rPr>
          <w:rFonts w:hint="eastAsia" w:ascii="黑体" w:hAnsi="黑体" w:eastAsia="黑体" w:cs="楷体_GB2312"/>
          <w:color w:val="000000"/>
          <w:kern w:val="0"/>
          <w:sz w:val="32"/>
          <w:szCs w:val="32"/>
          <w:shd w:val="clear" w:color="auto" w:fill="FFFFFF"/>
        </w:rPr>
        <w:t>）</w:t>
      </w:r>
      <w:r>
        <w:rPr>
          <w:rFonts w:ascii="楷体_GB2312" w:hAnsi="楷体_GB2312" w:eastAsia="楷体_GB2312" w:cs="楷体_GB2312"/>
          <w:color w:val="000000"/>
          <w:kern w:val="0"/>
          <w:sz w:val="32"/>
          <w:szCs w:val="32"/>
          <w:shd w:val="clear" w:color="auto" w:fill="FFFFFF"/>
        </w:rPr>
        <w:t>：</w:t>
      </w:r>
      <w:r>
        <w:rPr>
          <w:rFonts w:eastAsia="仿宋_GB2312"/>
          <w:color w:val="000000"/>
          <w:kern w:val="0"/>
          <w:sz w:val="32"/>
          <w:szCs w:val="32"/>
          <w:shd w:val="clear" w:color="auto" w:fill="FFFFFF"/>
        </w:rPr>
        <w:t>按照属地和网格化管理原则，负责协调本辖区城市管理、公安交警等部门依法依规做好互联网租赁自行车规范管理及监督运营工作。</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黑体" w:hAnsi="黑体" w:eastAsia="黑体" w:cs="楷体_GB2312"/>
          <w:color w:val="000000"/>
          <w:sz w:val="32"/>
          <w:szCs w:val="32"/>
          <w:shd w:val="clear" w:color="auto" w:fill="FFFFFF"/>
        </w:rPr>
        <w:t>（二）市交通运输局：</w:t>
      </w:r>
      <w:r>
        <w:rPr>
          <w:rFonts w:ascii="Times New Roman" w:hAnsi="Times New Roman" w:eastAsia="仿宋_GB2312" w:cs="Times New Roman"/>
          <w:sz w:val="32"/>
          <w:szCs w:val="32"/>
        </w:rPr>
        <w:t>1.负责互联网租赁自行车与城市公共交通融合发展的政策制定和统筹规划。2.根据城市空间承载能力、停放设施资源、公众出行需求等因素，牵头建立互联网租赁自行车投放机制，引导行业健康有序发展。3.对符合互联网租赁自行车数字化监管平台要求的</w:t>
      </w:r>
      <w:r>
        <w:rPr>
          <w:rFonts w:ascii="Times New Roman" w:hAnsi="Times New Roman" w:eastAsia="仿宋_GB2312" w:cs="Times New Roman"/>
          <w:color w:val="000000"/>
          <w:sz w:val="32"/>
          <w:szCs w:val="32"/>
          <w:shd w:val="clear" w:color="auto" w:fill="FFFFFF"/>
        </w:rPr>
        <w:t>运营企</w:t>
      </w:r>
      <w:r>
        <w:rPr>
          <w:rFonts w:ascii="Times New Roman" w:hAnsi="Times New Roman" w:eastAsia="仿宋_GB2312" w:cs="Times New Roman"/>
          <w:sz w:val="32"/>
          <w:szCs w:val="32"/>
          <w:shd w:val="clear" w:color="auto" w:fill="FFFFFF"/>
        </w:rPr>
        <w:t>业</w:t>
      </w:r>
      <w:r>
        <w:rPr>
          <w:rFonts w:ascii="Times New Roman" w:hAnsi="Times New Roman" w:eastAsia="仿宋_GB2312" w:cs="Times New Roman"/>
          <w:sz w:val="32"/>
          <w:szCs w:val="32"/>
        </w:rPr>
        <w:t>进行投放方案和规模的备案。</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黑体" w:hAnsi="黑体" w:eastAsia="黑体" w:cs="楷体_GB2312"/>
          <w:color w:val="000000"/>
          <w:sz w:val="32"/>
          <w:szCs w:val="32"/>
          <w:shd w:val="clear" w:color="auto" w:fill="FFFFFF"/>
        </w:rPr>
        <w:t>（三）市城</w:t>
      </w:r>
      <w:r>
        <w:rPr>
          <w:rFonts w:hint="eastAsia" w:ascii="黑体" w:hAnsi="黑体" w:eastAsia="黑体" w:cs="楷体_GB2312"/>
          <w:color w:val="000000"/>
          <w:sz w:val="32"/>
          <w:szCs w:val="32"/>
          <w:shd w:val="clear" w:color="auto" w:fill="FFFFFF"/>
        </w:rPr>
        <w:t>市</w:t>
      </w:r>
      <w:r>
        <w:rPr>
          <w:rFonts w:ascii="黑体" w:hAnsi="黑体" w:eastAsia="黑体" w:cs="楷体_GB2312"/>
          <w:color w:val="000000"/>
          <w:sz w:val="32"/>
          <w:szCs w:val="32"/>
          <w:shd w:val="clear" w:color="auto" w:fill="FFFFFF"/>
        </w:rPr>
        <w:t>管</w:t>
      </w:r>
      <w:r>
        <w:rPr>
          <w:rFonts w:hint="eastAsia" w:ascii="黑体" w:hAnsi="黑体" w:eastAsia="黑体" w:cs="楷体_GB2312"/>
          <w:color w:val="000000"/>
          <w:sz w:val="32"/>
          <w:szCs w:val="32"/>
          <w:shd w:val="clear" w:color="auto" w:fill="FFFFFF"/>
        </w:rPr>
        <w:t>理</w:t>
      </w:r>
      <w:r>
        <w:rPr>
          <w:rFonts w:ascii="黑体" w:hAnsi="黑体" w:eastAsia="黑体" w:cs="楷体_GB2312"/>
          <w:color w:val="000000"/>
          <w:sz w:val="32"/>
          <w:szCs w:val="32"/>
          <w:shd w:val="clear" w:color="auto" w:fill="FFFFFF"/>
        </w:rPr>
        <w:t>局</w:t>
      </w:r>
      <w:r>
        <w:rPr>
          <w:rFonts w:ascii="楷体_GB2312" w:hAnsi="楷体_GB2312" w:eastAsia="楷体_GB2312" w:cs="楷体_GB2312"/>
          <w:color w:val="000000"/>
          <w:sz w:val="32"/>
          <w:szCs w:val="32"/>
          <w:shd w:val="clear" w:color="auto" w:fill="FFFFFF"/>
        </w:rPr>
        <w:t>：</w:t>
      </w:r>
      <w:r>
        <w:rPr>
          <w:rFonts w:ascii="Times New Roman" w:hAnsi="Times New Roman" w:eastAsia="仿宋_GB2312" w:cs="Times New Roman"/>
          <w:sz w:val="32"/>
          <w:szCs w:val="32"/>
        </w:rPr>
        <w:t>1.负责制定互联网租赁自行车停放管理指导意见。2.负责指导互联网租赁自行车停放区域设置，对互联网租赁自行车公共区域内停车区环境的卫生管理。3.对互联网租赁自行车占道停放和违规投放等行为进行监督管理。4.负责将互联网租赁自行车企业违法违规行为纳入信用体系。对互联网租赁自行车不按规定停放影响交通秩序不能立即清除的，依法组织清理、转运。5.负责在市城市运行管理服务平台的基础上新建和运行全市互联网租赁自行车智慧监管平台，将所有运营企业应用信息数据接入平台，与其他部门实现数据资源共享。6.定期发布各互联网租赁自行车停放秩序监测及企业履职报告，纳入对企业服务质量的评估。</w:t>
      </w:r>
    </w:p>
    <w:p>
      <w:pPr>
        <w:spacing w:line="560" w:lineRule="exact"/>
        <w:ind w:firstLine="640" w:firstLineChars="200"/>
        <w:rPr>
          <w:rFonts w:eastAsia="仿宋_GB2312"/>
          <w:sz w:val="32"/>
          <w:szCs w:val="32"/>
        </w:rPr>
      </w:pPr>
      <w:r>
        <w:rPr>
          <w:rFonts w:ascii="黑体" w:hAnsi="黑体" w:eastAsia="黑体" w:cs="楷体_GB2312"/>
          <w:color w:val="000000"/>
          <w:kern w:val="0"/>
          <w:sz w:val="32"/>
          <w:szCs w:val="32"/>
          <w:shd w:val="clear" w:color="auto" w:fill="FFFFFF"/>
        </w:rPr>
        <w:t>（四）市公安局：</w:t>
      </w:r>
      <w:r>
        <w:rPr>
          <w:rFonts w:eastAsia="仿宋_GB2312"/>
          <w:sz w:val="32"/>
          <w:szCs w:val="32"/>
        </w:rPr>
        <w:t>1.负责互联网租赁自行车驾驶人道路交通违法行为的执法。2.负责对互联网租赁自行车企业存在的违反道路交通安全法律、法规的违法行为的</w:t>
      </w:r>
      <w:r>
        <w:rPr>
          <w:rFonts w:hint="eastAsia" w:eastAsia="仿宋_GB2312"/>
          <w:sz w:val="32"/>
          <w:szCs w:val="32"/>
        </w:rPr>
        <w:t>查处</w:t>
      </w:r>
      <w:r>
        <w:rPr>
          <w:rFonts w:eastAsia="仿宋_GB2312"/>
          <w:sz w:val="32"/>
          <w:szCs w:val="32"/>
        </w:rPr>
        <w:t xml:space="preserve">。3.负责对互联网租赁自行车道路交通事故和治安、刑事案件的处理。4.依法查处恶意破坏、毁弃、盗窃互联网租赁自行车等违法行为。构成犯罪的，依法追究刑事责任。5.负责互联网租赁自行车（电动车）的登记上牌工作。 </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黑体" w:hAnsi="黑体" w:eastAsia="黑体" w:cs="楷体_GB2312"/>
          <w:color w:val="000000"/>
          <w:sz w:val="32"/>
          <w:szCs w:val="32"/>
          <w:shd w:val="clear" w:color="auto" w:fill="FFFFFF"/>
        </w:rPr>
        <w:t>（五）市市场监管局</w:t>
      </w:r>
      <w:r>
        <w:rPr>
          <w:rFonts w:ascii="楷体_GB2312" w:hAnsi="楷体_GB2312" w:eastAsia="楷体_GB2312" w:cs="楷体_GB2312"/>
          <w:color w:val="000000"/>
          <w:sz w:val="32"/>
          <w:szCs w:val="32"/>
          <w:shd w:val="clear" w:color="auto" w:fill="FFFFFF"/>
        </w:rPr>
        <w:t>：</w:t>
      </w:r>
      <w:r>
        <w:rPr>
          <w:rFonts w:ascii="Times New Roman" w:hAnsi="Times New Roman" w:eastAsia="仿宋_GB2312" w:cs="Times New Roman"/>
          <w:sz w:val="32"/>
          <w:szCs w:val="32"/>
        </w:rPr>
        <w:t>配合做好互联网租赁自行车企业经营活动的监督管理及消费者权益保护。</w:t>
      </w:r>
    </w:p>
    <w:p>
      <w:pPr>
        <w:spacing w:line="560" w:lineRule="exact"/>
        <w:ind w:firstLine="640" w:firstLineChars="200"/>
        <w:rPr>
          <w:rFonts w:ascii="仿宋_GB2312" w:eastAsia="仿宋_GB2312"/>
          <w:sz w:val="32"/>
          <w:szCs w:val="36"/>
        </w:rPr>
      </w:pPr>
      <w:r>
        <w:rPr>
          <w:rFonts w:ascii="黑体" w:hAnsi="黑体" w:eastAsia="黑体" w:cs="楷体_GB2312"/>
          <w:color w:val="000000"/>
          <w:kern w:val="0"/>
          <w:sz w:val="32"/>
          <w:szCs w:val="32"/>
          <w:shd w:val="clear" w:color="auto" w:fill="FFFFFF"/>
        </w:rPr>
        <w:t>（六）市自然资源局</w:t>
      </w:r>
      <w:r>
        <w:rPr>
          <w:rFonts w:ascii="楷体_GB2312" w:hAnsi="楷体_GB2312" w:eastAsia="楷体_GB2312" w:cs="楷体_GB2312"/>
          <w:color w:val="000000"/>
          <w:kern w:val="0"/>
          <w:sz w:val="32"/>
          <w:szCs w:val="32"/>
          <w:shd w:val="clear" w:color="auto" w:fill="FFFFFF"/>
        </w:rPr>
        <w:t>:</w:t>
      </w:r>
      <w:r>
        <w:rPr>
          <w:rFonts w:hint="eastAsia" w:ascii="仿宋_GB2312" w:eastAsia="仿宋_GB2312"/>
          <w:sz w:val="32"/>
          <w:szCs w:val="36"/>
        </w:rPr>
        <w:t xml:space="preserve"> 负责协调有关部门编制中心城区慢行系统专项规划，完善绿色出行体系，并纳入城市综合交通体系规划。</w:t>
      </w:r>
    </w:p>
    <w:p>
      <w:pPr>
        <w:spacing w:line="560" w:lineRule="exact"/>
        <w:ind w:firstLine="640" w:firstLineChars="200"/>
        <w:rPr>
          <w:rFonts w:ascii="仿宋_GB2312" w:eastAsia="仿宋_GB2312"/>
          <w:color w:val="FF0000"/>
          <w:sz w:val="32"/>
          <w:szCs w:val="32"/>
        </w:rPr>
      </w:pPr>
      <w:r>
        <w:rPr>
          <w:rFonts w:ascii="黑体" w:hAnsi="黑体" w:eastAsia="黑体" w:cs="楷体_GB2312"/>
          <w:color w:val="000000"/>
          <w:kern w:val="0"/>
          <w:sz w:val="32"/>
          <w:szCs w:val="32"/>
          <w:shd w:val="clear" w:color="auto" w:fill="FFFFFF"/>
        </w:rPr>
        <w:t>（七）市住房和城乡建设局:</w:t>
      </w:r>
      <w:r>
        <w:rPr>
          <w:rFonts w:hint="eastAsia" w:ascii="仿宋_GB2312" w:eastAsia="仿宋_GB2312"/>
          <w:color w:val="FF0000"/>
          <w:sz w:val="32"/>
          <w:szCs w:val="32"/>
        </w:rPr>
        <w:t xml:space="preserve"> 配合做好互联网租赁自行车停车位及电子围栏施划工作。</w:t>
      </w:r>
    </w:p>
    <w:p>
      <w:pPr>
        <w:spacing w:line="560" w:lineRule="exact"/>
        <w:ind w:firstLine="640" w:firstLineChars="200"/>
        <w:rPr>
          <w:rFonts w:eastAsia="仿宋_GB2312"/>
          <w:kern w:val="0"/>
          <w:sz w:val="32"/>
          <w:szCs w:val="32"/>
        </w:rPr>
      </w:pPr>
      <w:r>
        <w:rPr>
          <w:rFonts w:eastAsia="仿宋_GB2312"/>
          <w:sz w:val="32"/>
          <w:szCs w:val="32"/>
        </w:rPr>
        <w:t xml:space="preserve"> </w:t>
      </w:r>
      <w:r>
        <w:rPr>
          <w:rFonts w:ascii="黑体" w:hAnsi="黑体" w:eastAsia="黑体" w:cs="楷体_GB2312"/>
          <w:color w:val="000000"/>
          <w:kern w:val="0"/>
          <w:sz w:val="32"/>
          <w:szCs w:val="32"/>
          <w:shd w:val="clear" w:color="auto" w:fill="FFFFFF"/>
        </w:rPr>
        <w:t>（八）市委网信办、市公安局</w:t>
      </w:r>
      <w:r>
        <w:rPr>
          <w:rFonts w:ascii="楷体_GB2312" w:hAnsi="楷体_GB2312" w:eastAsia="楷体_GB2312" w:cs="楷体_GB2312"/>
          <w:color w:val="000000"/>
          <w:kern w:val="0"/>
          <w:sz w:val="32"/>
          <w:szCs w:val="32"/>
          <w:shd w:val="clear" w:color="auto" w:fill="FFFFFF"/>
        </w:rPr>
        <w:t>：</w:t>
      </w:r>
      <w:r>
        <w:rPr>
          <w:rFonts w:eastAsia="仿宋_GB2312"/>
          <w:kern w:val="0"/>
          <w:sz w:val="32"/>
          <w:szCs w:val="32"/>
        </w:rPr>
        <w:t>根据各自职责，负责加强互联网租赁自行车服务的网络安全监管，保障用户信息安全。</w:t>
      </w:r>
    </w:p>
    <w:p>
      <w:pPr>
        <w:pStyle w:val="2"/>
        <w:spacing w:before="0" w:after="0" w:line="560" w:lineRule="exact"/>
        <w:ind w:firstLine="640" w:firstLineChars="200"/>
        <w:rPr>
          <w:rFonts w:eastAsia="仿宋_GB2312"/>
          <w:b w:val="0"/>
          <w:bCs/>
        </w:rPr>
      </w:pPr>
      <w:r>
        <w:rPr>
          <w:rFonts w:ascii="楷体_GB2312" w:hAnsi="楷体_GB2312" w:eastAsia="楷体_GB2312" w:cs="楷体_GB2312"/>
          <w:b w:val="0"/>
          <w:color w:val="000000"/>
          <w:kern w:val="0"/>
          <w:sz w:val="32"/>
          <w:szCs w:val="32"/>
          <w:shd w:val="clear" w:color="auto" w:fill="FFFFFF"/>
        </w:rPr>
        <w:t>（九）市委文明办：</w:t>
      </w:r>
      <w:r>
        <w:rPr>
          <w:rFonts w:eastAsia="仿宋_GB2312"/>
          <w:b w:val="0"/>
          <w:bCs/>
          <w:kern w:val="0"/>
          <w:sz w:val="32"/>
          <w:szCs w:val="32"/>
        </w:rPr>
        <w:t>负责制定互联网租赁自行车文明骑行公约，宣传倡导市民文明骑行、规范停放、爱护停车设施。</w:t>
      </w:r>
    </w:p>
    <w:p>
      <w:pPr>
        <w:widowControl/>
        <w:shd w:val="clear" w:color="auto" w:fill="FFFFFF"/>
        <w:spacing w:line="560" w:lineRule="exact"/>
        <w:ind w:firstLine="640" w:firstLineChars="200"/>
        <w:jc w:val="left"/>
        <w:rPr>
          <w:rFonts w:eastAsia="仿宋_GB2312"/>
          <w:sz w:val="32"/>
          <w:szCs w:val="32"/>
        </w:rPr>
      </w:pPr>
      <w:r>
        <w:rPr>
          <w:rFonts w:ascii="楷体_GB2312" w:hAnsi="楷体_GB2312" w:eastAsia="楷体_GB2312" w:cs="楷体_GB2312"/>
          <w:color w:val="000000"/>
          <w:kern w:val="0"/>
          <w:sz w:val="32"/>
          <w:szCs w:val="32"/>
          <w:shd w:val="clear" w:color="auto" w:fill="FFFFFF"/>
        </w:rPr>
        <w:t>（十）</w:t>
      </w:r>
      <w:r>
        <w:rPr>
          <w:rFonts w:ascii="黑体" w:hAnsi="黑体" w:eastAsia="黑体" w:cs="楷体_GB2312"/>
          <w:color w:val="000000"/>
          <w:kern w:val="0"/>
          <w:sz w:val="32"/>
          <w:szCs w:val="32"/>
          <w:shd w:val="clear" w:color="auto" w:fill="FFFFFF"/>
        </w:rPr>
        <w:t>市发改委</w:t>
      </w:r>
      <w:r>
        <w:rPr>
          <w:rFonts w:hint="eastAsia" w:ascii="黑体" w:hAnsi="黑体" w:eastAsia="黑体" w:cs="楷体_GB2312"/>
          <w:color w:val="000000"/>
          <w:kern w:val="0"/>
          <w:sz w:val="32"/>
          <w:szCs w:val="32"/>
          <w:shd w:val="clear" w:color="auto" w:fill="FFFFFF"/>
        </w:rPr>
        <w:t>、</w:t>
      </w:r>
      <w:r>
        <w:rPr>
          <w:rFonts w:hint="eastAsia" w:ascii="黑体" w:hAnsi="黑体" w:eastAsia="黑体" w:cs="楷体_GB2312"/>
          <w:color w:val="FF0000"/>
          <w:kern w:val="0"/>
          <w:sz w:val="32"/>
          <w:szCs w:val="32"/>
          <w:shd w:val="clear" w:color="auto" w:fill="FFFFFF"/>
        </w:rPr>
        <w:t>市工</w:t>
      </w:r>
      <w:r>
        <w:rPr>
          <w:rFonts w:ascii="黑体" w:hAnsi="黑体" w:eastAsia="黑体" w:cs="楷体_GB2312"/>
          <w:color w:val="FF0000"/>
          <w:kern w:val="0"/>
          <w:sz w:val="32"/>
          <w:szCs w:val="32"/>
          <w:shd w:val="clear" w:color="auto" w:fill="FFFFFF"/>
        </w:rPr>
        <w:t>信局</w:t>
      </w:r>
      <w:r>
        <w:rPr>
          <w:rFonts w:ascii="黑体" w:hAnsi="黑体" w:eastAsia="黑体" w:cs="楷体_GB2312"/>
          <w:color w:val="000000"/>
          <w:kern w:val="0"/>
          <w:sz w:val="32"/>
          <w:szCs w:val="32"/>
          <w:shd w:val="clear" w:color="auto" w:fill="FFFFFF"/>
        </w:rPr>
        <w:t>：</w:t>
      </w:r>
      <w:r>
        <w:rPr>
          <w:rFonts w:eastAsia="仿宋_GB2312"/>
          <w:kern w:val="0"/>
          <w:sz w:val="32"/>
          <w:szCs w:val="32"/>
        </w:rPr>
        <w:t>按照工作职责，负责对互联网租赁自行车经营行为实施相关监督检查，并对违法行为依法处理。</w:t>
      </w:r>
    </w:p>
    <w:p>
      <w:pPr>
        <w:pStyle w:val="16"/>
        <w:shd w:val="clear" w:color="auto" w:fill="FFFFFF"/>
        <w:spacing w:before="0" w:after="0" w:line="560" w:lineRule="exact"/>
        <w:ind w:firstLine="640"/>
        <w:jc w:val="both"/>
        <w:rPr>
          <w:rFonts w:ascii="黑体" w:hAnsi="黑体" w:eastAsia="黑体" w:cs="黑体"/>
          <w:color w:val="000000"/>
          <w:sz w:val="32"/>
          <w:szCs w:val="32"/>
          <w:shd w:val="clear" w:color="auto" w:fill="FFFFFF"/>
        </w:rPr>
      </w:pPr>
      <w:r>
        <w:rPr>
          <w:rFonts w:ascii="黑体" w:hAnsi="黑体" w:eastAsia="黑体" w:cs="黑体"/>
          <w:color w:val="000000"/>
          <w:sz w:val="32"/>
          <w:szCs w:val="32"/>
          <w:shd w:val="clear" w:color="auto" w:fill="FFFFFF"/>
        </w:rPr>
        <w:t>四、强化监管</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督促指导运营企业遵守相关法律、法规、规章、规定，自觉接受政府相关职能部门的监督和管理，有效提升互联网租赁自行车线上线下</w:t>
      </w:r>
      <w:r>
        <w:rPr>
          <w:rFonts w:hint="eastAsia" w:ascii="Times New Roman" w:hAnsi="Times New Roman" w:eastAsia="仿宋_GB2312" w:cs="Times New Roman"/>
          <w:sz w:val="32"/>
          <w:szCs w:val="32"/>
        </w:rPr>
        <w:t>管理能力和</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rPr>
        <w:t>水平</w:t>
      </w:r>
      <w:r>
        <w:rPr>
          <w:rFonts w:ascii="Times New Roman" w:hAnsi="Times New Roman" w:eastAsia="仿宋_GB2312" w:cs="Times New Roman"/>
          <w:sz w:val="32"/>
          <w:szCs w:val="32"/>
        </w:rPr>
        <w:t>。</w:t>
      </w:r>
    </w:p>
    <w:p>
      <w:pPr>
        <w:pStyle w:val="16"/>
        <w:shd w:val="clear" w:color="auto" w:fill="FFFFFF"/>
        <w:spacing w:before="0" w:after="0" w:line="560" w:lineRule="exact"/>
        <w:ind w:firstLine="640" w:firstLineChars="200"/>
        <w:jc w:val="both"/>
        <w:rPr>
          <w:rFonts w:ascii="黑体" w:hAnsi="黑体" w:eastAsia="黑体" w:cs="楷体_GB2312"/>
          <w:color w:val="000000"/>
          <w:sz w:val="32"/>
          <w:szCs w:val="32"/>
          <w:shd w:val="clear" w:color="auto" w:fill="FFFFFF"/>
        </w:rPr>
      </w:pPr>
      <w:r>
        <w:rPr>
          <w:rFonts w:ascii="黑体" w:hAnsi="黑体" w:eastAsia="黑体" w:cs="楷体_GB2312"/>
          <w:color w:val="000000"/>
          <w:sz w:val="32"/>
          <w:szCs w:val="32"/>
          <w:shd w:val="clear" w:color="auto" w:fill="FFFFFF"/>
        </w:rPr>
        <w:t>（一）控制总量</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1.委托专业机构，根据城市空间承载能力、停放设施资源、公共出行需求等情况，科学确定、合理测算中心城区互联网租赁自行车的发展方向及总量控制规模。</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2.市交通运输局会同市城管局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根据总量控制规模，制定运营配额投放计划，征求市公安局意见后，进行车辆投放配额管理，并与运营企业签订投放管理服务协议书。</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3.运营企业应当按照核定配额和协议约定，规范互联网租赁自行车的投放和运营管理。</w:t>
      </w:r>
    </w:p>
    <w:p>
      <w:pPr>
        <w:pStyle w:val="16"/>
        <w:shd w:val="clear" w:color="auto" w:fill="FFFFFF"/>
        <w:spacing w:before="0" w:after="0" w:line="560" w:lineRule="exact"/>
        <w:ind w:firstLine="640" w:firstLineChars="200"/>
        <w:jc w:val="both"/>
        <w:rPr>
          <w:rFonts w:ascii="黑体" w:hAnsi="黑体" w:eastAsia="黑体" w:cs="楷体_GB2312"/>
          <w:color w:val="000000"/>
          <w:sz w:val="32"/>
          <w:szCs w:val="32"/>
          <w:shd w:val="clear" w:color="auto" w:fill="FFFFFF"/>
        </w:rPr>
      </w:pPr>
      <w:r>
        <w:rPr>
          <w:rFonts w:ascii="黑体" w:hAnsi="黑体" w:eastAsia="黑体" w:cs="楷体_GB2312"/>
          <w:color w:val="000000"/>
          <w:sz w:val="32"/>
          <w:szCs w:val="32"/>
          <w:shd w:val="clear" w:color="auto" w:fill="FFFFFF"/>
        </w:rPr>
        <w:t>（二）准入</w:t>
      </w:r>
      <w:r>
        <w:rPr>
          <w:rFonts w:hint="eastAsia" w:ascii="黑体" w:hAnsi="黑体" w:eastAsia="黑体" w:cs="楷体_GB2312"/>
          <w:color w:val="000000"/>
          <w:sz w:val="32"/>
          <w:szCs w:val="32"/>
          <w:shd w:val="clear" w:color="auto" w:fill="FFFFFF"/>
        </w:rPr>
        <w:t>条件</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sz w:val="32"/>
          <w:szCs w:val="32"/>
          <w:shd w:val="clear" w:color="auto" w:fill="FFFFFF"/>
        </w:rPr>
        <w:t>运营企业</w:t>
      </w:r>
      <w:r>
        <w:rPr>
          <w:rFonts w:ascii="Times New Roman" w:hAnsi="Times New Roman" w:eastAsia="仿宋_GB2312" w:cs="Times New Roman"/>
          <w:sz w:val="32"/>
          <w:szCs w:val="32"/>
        </w:rPr>
        <w:t xml:space="preserve">应依法在本市办理工商登记注册，设立线下服务机构，拥有保障服务和处理投诉的场所。企业在开始提供经营服务前30日向市交通运输局备案，需提供以下材料： </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1.企业法人营业执照原件及复印件、法人代表身份证原件及复印件、代理人身份证原件及复印件、授权委托书。   </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2.在本市内具有固定办公场地、停放场地和维修保养场地、线下服务能力等证明文件及人员配备名单。 </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3.通信管理机构颁发的互联网信息服务增值电信业务经营许可证复印件。</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运营模式说明，符合城市规范管理要求的运力投放方案（投放规模、时间、地点等），服务管理、安全管理、服务质量及投诉管理制度，用户资金管理制度、信息安全及用户隐私保护制度、车辆报废回收制度等。 </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5.互联网租赁自行车车辆质量合格证明文件。 </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6.数据接入本市互联网租赁自行车数字化监管平台的相关协议。</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7.电子围栏技术文档与实施方案。</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8.法律、法规要求提供的其他材料。</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已在本市提供互联网租赁自行车经营服务的企业，应于本通知下发之日起30日内提供上述材料，不满足上述要求的不得擅自投放车辆。</w:t>
      </w:r>
    </w:p>
    <w:p>
      <w:pPr>
        <w:pStyle w:val="16"/>
        <w:shd w:val="clear" w:color="auto" w:fill="FFFFFF"/>
        <w:spacing w:before="0" w:after="0" w:line="560" w:lineRule="exact"/>
        <w:ind w:firstLine="640" w:firstLineChars="200"/>
        <w:jc w:val="both"/>
        <w:rPr>
          <w:rFonts w:ascii="楷体_GB2312" w:hAnsi="楷体_GB2312" w:eastAsia="楷体_GB2312" w:cs="楷体_GB2312"/>
          <w:color w:val="000000"/>
          <w:sz w:val="32"/>
          <w:szCs w:val="32"/>
          <w:shd w:val="clear" w:color="auto" w:fill="FFFFFF"/>
        </w:rPr>
      </w:pPr>
      <w:r>
        <w:rPr>
          <w:rFonts w:ascii="楷体_GB2312" w:hAnsi="楷体_GB2312" w:eastAsia="楷体_GB2312" w:cs="楷体_GB2312"/>
          <w:color w:val="000000"/>
          <w:sz w:val="32"/>
          <w:szCs w:val="32"/>
          <w:shd w:val="clear" w:color="auto" w:fill="FFFFFF"/>
        </w:rPr>
        <w:t>（三）车辆要求</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企业投放的车辆应符合以下条件: </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1.互联网租赁自行车必须符合《自行车安全要求》（GB/T3565.2—2022）有关技术规定，通过国家CCC认证，符合本市自行车安全规范管理要求。自行车限载1人，鞍座高度≥635mm，</w:t>
      </w:r>
      <w:r>
        <w:rPr>
          <w:rFonts w:ascii="Times New Roman" w:hAnsi="Times New Roman" w:eastAsia="仿宋_GB2312" w:cs="Times New Roman"/>
          <w:color w:val="000000"/>
          <w:sz w:val="32"/>
          <w:szCs w:val="32"/>
        </w:rPr>
        <w:t>横管的总宽度在350mm—1000mm之间，</w:t>
      </w:r>
      <w:r>
        <w:rPr>
          <w:rFonts w:ascii="Times New Roman" w:hAnsi="Times New Roman" w:eastAsia="仿宋_GB2312" w:cs="Times New Roman"/>
          <w:sz w:val="32"/>
          <w:szCs w:val="32"/>
        </w:rPr>
        <w:t>在车架的显眼部位，如靠近脚蹬的曲柄、鞍管或车把等位置明显而永久性地标注上车架的序列号。</w:t>
      </w:r>
    </w:p>
    <w:p>
      <w:pPr>
        <w:spacing w:line="560" w:lineRule="exact"/>
        <w:ind w:firstLine="640" w:firstLineChars="200"/>
        <w:rPr>
          <w:rFonts w:eastAsia="仿宋_GB2312"/>
          <w:sz w:val="32"/>
          <w:szCs w:val="32"/>
        </w:rPr>
      </w:pPr>
      <w:r>
        <w:rPr>
          <w:rFonts w:eastAsia="仿宋_GB2312"/>
          <w:sz w:val="32"/>
          <w:szCs w:val="32"/>
        </w:rPr>
        <w:t xml:space="preserve">2.互联网租赁电动自行车必须符合《电动自行车安全技术规范》（GB17761—2018 ）有关技术要求，通过国家CCC认证，符合本市电动自行车安全规范管理要求。电动自行车限1人骑行，配装安全头盔。鞍座与驾驶人臀部有效接触面的长度不得超过250毫米，鞍座后面提手架的设计不得变相为违法载人提供方便，在车辆设计规避多人骑行问题。   </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3.具备实时定位和精确查找功能 （互联网租赁自行车的定位功能应保证在米级范围，实现定点、定向、定量、等距管理效果），加装带有车载卫星定位和智能通讯控制模块的智能锁。</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4.车身设计美观，具有鲜明可识别标识，无广告设置，不影响市容。</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5.车辆运营期间，应建立车辆维护档案，定期维修维护，确保车辆技术状况良好。</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6.配置智能装置，实现佩戴头盔骑行。</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对目前已投放但不符合安全管理要求的车辆，应当从本通知下发之日起2个月内完善，未完善的不予备案。</w:t>
      </w:r>
    </w:p>
    <w:p>
      <w:pPr>
        <w:pStyle w:val="16"/>
        <w:shd w:val="clear" w:color="auto" w:fill="FFFFFF"/>
        <w:spacing w:before="0" w:after="0" w:line="560" w:lineRule="exact"/>
        <w:ind w:firstLine="640" w:firstLineChars="200"/>
        <w:jc w:val="both"/>
        <w:rPr>
          <w:rFonts w:ascii="楷体_GB2312" w:hAnsi="楷体_GB2312" w:eastAsia="楷体_GB2312" w:cs="楷体_GB2312"/>
          <w:color w:val="000000"/>
          <w:sz w:val="32"/>
          <w:szCs w:val="32"/>
          <w:shd w:val="clear" w:color="auto" w:fill="FFFFFF"/>
        </w:rPr>
      </w:pPr>
      <w:r>
        <w:rPr>
          <w:rFonts w:ascii="楷体_GB2312" w:hAnsi="楷体_GB2312" w:eastAsia="楷体_GB2312" w:cs="楷体_GB2312"/>
          <w:color w:val="000000"/>
          <w:sz w:val="32"/>
          <w:szCs w:val="32"/>
          <w:shd w:val="clear" w:color="auto" w:fill="FFFFFF"/>
        </w:rPr>
        <w:t>（四）管理</w:t>
      </w:r>
      <w:r>
        <w:rPr>
          <w:rFonts w:hint="eastAsia" w:ascii="楷体_GB2312" w:hAnsi="楷体_GB2312" w:eastAsia="楷体_GB2312" w:cs="楷体_GB2312"/>
          <w:color w:val="000000"/>
          <w:sz w:val="32"/>
          <w:szCs w:val="32"/>
          <w:shd w:val="clear" w:color="auto" w:fill="FFFFFF"/>
        </w:rPr>
        <w:t>措</w:t>
      </w:r>
      <w:r>
        <w:rPr>
          <w:rFonts w:ascii="楷体_GB2312" w:hAnsi="楷体_GB2312" w:eastAsia="楷体_GB2312" w:cs="楷体_GB2312"/>
          <w:color w:val="000000"/>
          <w:sz w:val="32"/>
          <w:szCs w:val="32"/>
          <w:shd w:val="clear" w:color="auto" w:fill="FFFFFF"/>
        </w:rPr>
        <w:t>施</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运营企业应当依法履行主体责任和相应社会责任，保障用户和公众合法权益，并遵守以下规定：</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有序投放。互联网租赁自行车的投放实行配额管理，市交通、城管部门综合本市实际空间及需求，确定中心城区互联网租赁自行车配额。运营企业应当严格按照核定配额投放车辆，其中所投放的电动自行车应到公安部门办理登记、并进行编码或号牌管理，企业置换车辆应提前向市城管、公安交警部门进行报告，按照“先收后投”“先上牌后投放”的方式进行。</w:t>
      </w:r>
    </w:p>
    <w:p>
      <w:pPr>
        <w:pStyle w:val="16"/>
        <w:shd w:val="clear" w:color="auto" w:fill="FFFFFF"/>
        <w:spacing w:before="0" w:after="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2.实名注册。运营企业应当对用户进行实名制注册登记并签订服务协议，明确双方权利义务。互联网租赁电动自行车禁止向未满16周岁的人员提供注册登记服务。</w:t>
      </w:r>
    </w:p>
    <w:p>
      <w:pPr>
        <w:pStyle w:val="16"/>
        <w:shd w:val="clear" w:color="auto" w:fill="FFFFFF"/>
        <w:spacing w:before="0" w:after="0" w:line="56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3.购买保险。运营企业应当创新保险机制，</w:t>
      </w:r>
      <w:r>
        <w:rPr>
          <w:rFonts w:ascii="Times New Roman" w:hAnsi="Times New Roman" w:eastAsia="仿宋_GB2312" w:cs="Times New Roman"/>
          <w:color w:val="000000"/>
          <w:sz w:val="32"/>
          <w:szCs w:val="32"/>
        </w:rPr>
        <w:t>为用户购买人身意外伤害保险，</w:t>
      </w:r>
      <w:r>
        <w:rPr>
          <w:rFonts w:ascii="Times New Roman" w:hAnsi="Times New Roman" w:eastAsia="仿宋_GB2312" w:cs="Times New Roman"/>
          <w:sz w:val="32"/>
          <w:szCs w:val="32"/>
        </w:rPr>
        <w:t>建立事故赔偿机制，将事故处理流程、保险标准等在服务协议中明确并向社会公示。</w:t>
      </w:r>
    </w:p>
    <w:p>
      <w:pPr>
        <w:pStyle w:val="16"/>
        <w:shd w:val="clear" w:color="auto" w:fill="FFFFFF"/>
        <w:spacing w:before="0" w:after="0" w:line="56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4.公示计费标准。运营企业应当向社会公示符合国家有关规定的收费标准和计费方式，实行明码标价，并建立投诉纠纷处理机制，及时处理市民投诉。不得有排挤竞争对手垄断市场的不正当价格行为。</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5.配备运维人员。运营企业应当按照车辆投放</w:t>
      </w:r>
      <w:r>
        <w:rPr>
          <w:rFonts w:hint="eastAsia" w:ascii="Times New Roman" w:hAnsi="Times New Roman" w:eastAsia="仿宋_GB2312" w:cs="Times New Roman"/>
          <w:sz w:val="32"/>
          <w:szCs w:val="32"/>
        </w:rPr>
        <w:t>数</w:t>
      </w:r>
      <w:r>
        <w:rPr>
          <w:rFonts w:ascii="Times New Roman" w:hAnsi="Times New Roman" w:eastAsia="仿宋_GB2312" w:cs="Times New Roman"/>
          <w:sz w:val="32"/>
          <w:szCs w:val="32"/>
        </w:rPr>
        <w:t>量2%以上的比例合理配备线下服务人员，并实施网格化管理。运营企业必须安排专人调度城市主次干道、政府驻地、商圈、景区、火车站、公交场站等城市重要区域、城市重要交通枢纽互联网租赁自行车的停放，防止区域车辆大面积堆压。运营企业必须配置专门的调度车辆，每投放300辆互联网租赁自行车至少配置1辆调度车（调度车至少应满足装载8辆互联网租赁电动自行车的运力）。调度车辆车身要统一涂装“互联网租赁自行车运维调度”标识、服务热线等，便于公安交警部门识别。</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确保信息安全。运营企业应当遵守《中华人民共和国网络安全法》等法律法规要求，将服务器设在中国大陆境内，并落实网络安全等级保护、数据安全管理、个人信息保护等制度，依法合规采集、使用和保护个人信息。 </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7.引导用户规范用车。运营企业应当利用电子围栏、电子地图、定点停车等技术手段，执行和落实“正面清单”“负面清单”相结合的车辆停放管理要求，采取在手机 APP 端标注可停放区和禁停区，设立用户用车奖惩制度等多种方式，积极引导用户文明骑行。 </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8.加强车辆日常维护。运营企业应当做好车辆维修维护管理，确保车容车貌整洁、车况良好，排除车辆安全隐患。</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9.落实清理责任。运营企业应当加强对车辆的停放管理，及时清理违规停放、存在安全隐患、不能提供服务的车辆，根据停车区车辆饱和情况及时调度转运车辆，最大限度满足用户用车停车需求。</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10.落实应急措施。运营企业应当制定停车管理应急预案，在节假日、重大活动、重大险情及自然灾害期间，负责做好车辆应急调度和停车秩序管理，维护城市环境和交通秩序。</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11.加强数据共享。运营企业应当将相关运营数据、车辆编码数据接入全市互联网租赁自行车数字化监管平台，包括车辆数量、使用频次和轨迹、编码信息、修理维护、信用评价、投诉处理等数据。</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12.建立诚信机制。运营企业应建立用户行为规范和信用评价管理制度，对用户随意停放、恶意损坏车辆等不良行为，采取扣除诚信积分、提高车辆使用收费标准和建立“黑名单”制度等措施。</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13.运营企业必须公开</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本市的服务监督电话，服务热线应当设置专人接待。</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14.运营企业应主动接受交通、城管、公安交警等部门的指导监督，签订运营管理责任书，落实主体责任，遵守相关法律法规和行业主管部门规范管理要求，依法依规提供驾驶人身份、车辆行驶轨迹等相关信息及配合其他工作需要。</w:t>
      </w:r>
    </w:p>
    <w:p>
      <w:pPr>
        <w:pStyle w:val="16"/>
        <w:shd w:val="clear" w:color="auto" w:fill="FFFFFF"/>
        <w:spacing w:before="0"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15.运营企业自主退出经营，应制定退出方案，提前30日向市交通运输局提出书面报告 （抄送相关部门），并向社会公告，及时退还用户预付金（若有）等资金，完成所有投放车辆回收等工作。</w:t>
      </w:r>
    </w:p>
    <w:p>
      <w:pPr>
        <w:pStyle w:val="16"/>
        <w:shd w:val="clear" w:color="auto" w:fill="FFFFFF"/>
        <w:spacing w:before="0" w:after="0" w:line="560" w:lineRule="exact"/>
        <w:ind w:firstLineChars="150"/>
        <w:jc w:val="both"/>
        <w:rPr>
          <w:rFonts w:ascii="黑体" w:hAnsi="黑体" w:eastAsia="黑体" w:cs="楷体_GB2312"/>
          <w:color w:val="000000"/>
          <w:sz w:val="32"/>
          <w:szCs w:val="32"/>
          <w:shd w:val="clear" w:color="auto" w:fill="FFFFFF"/>
        </w:rPr>
      </w:pPr>
      <w:r>
        <w:rPr>
          <w:rFonts w:ascii="黑体" w:hAnsi="黑体" w:eastAsia="黑体" w:cs="楷体_GB2312"/>
          <w:color w:val="000000"/>
          <w:sz w:val="32"/>
          <w:szCs w:val="32"/>
          <w:shd w:val="clear" w:color="auto" w:fill="FFFFFF"/>
        </w:rPr>
        <w:t>（五</w:t>
      </w:r>
      <w:r>
        <w:rPr>
          <w:rFonts w:hint="eastAsia" w:ascii="黑体" w:hAnsi="黑体" w:eastAsia="黑体" w:cs="楷体_GB2312"/>
          <w:color w:val="000000"/>
          <w:sz w:val="32"/>
          <w:szCs w:val="32"/>
          <w:shd w:val="clear" w:color="auto" w:fill="FFFFFF"/>
        </w:rPr>
        <w:t>）信用评价</w:t>
      </w:r>
    </w:p>
    <w:p>
      <w:pPr>
        <w:spacing w:line="560" w:lineRule="exact"/>
        <w:rPr>
          <w:rFonts w:eastAsia="仿宋_GB2312"/>
          <w:sz w:val="32"/>
          <w:szCs w:val="32"/>
        </w:rPr>
      </w:pPr>
      <w:r>
        <w:rPr>
          <w:rFonts w:eastAsia="仿宋_GB2312"/>
          <w:sz w:val="32"/>
          <w:szCs w:val="32"/>
        </w:rPr>
        <w:t xml:space="preserve">    市城管、交通、公安交警、市场监管等执法部门要建立互联网租赁自行车企业服务质量考评机制，依据《汉中市互联网租赁自行车运营服务质量</w:t>
      </w:r>
      <w:r>
        <w:rPr>
          <w:rFonts w:eastAsia="仿宋_GB2312"/>
          <w:color w:val="000000"/>
          <w:sz w:val="32"/>
          <w:szCs w:val="32"/>
        </w:rPr>
        <w:t>评价</w:t>
      </w:r>
      <w:r>
        <w:rPr>
          <w:rFonts w:eastAsia="仿宋_GB2312"/>
          <w:sz w:val="32"/>
          <w:szCs w:val="32"/>
        </w:rPr>
        <w:t>办法</w:t>
      </w:r>
      <w:r>
        <w:rPr>
          <w:rFonts w:hint="eastAsia" w:ascii="仿宋_GB2312" w:eastAsia="仿宋_GB2312"/>
          <w:sz w:val="32"/>
          <w:szCs w:val="32"/>
        </w:rPr>
        <w:t>》</w:t>
      </w:r>
      <w:r>
        <w:rPr>
          <w:rFonts w:eastAsia="仿宋_GB2312"/>
          <w:sz w:val="32"/>
          <w:szCs w:val="32"/>
        </w:rPr>
        <w:t>（附件），对运营企业不认真履行管理主体责任、车辆投放不符合要求、不按照经营管理要求和服务协议提供服务的，经约谈、通报仍不采取有效措施整改的，由城管</w:t>
      </w:r>
      <w:r>
        <w:rPr>
          <w:rFonts w:hint="eastAsia" w:eastAsia="仿宋_GB2312"/>
          <w:sz w:val="32"/>
          <w:szCs w:val="32"/>
        </w:rPr>
        <w:t>、</w:t>
      </w:r>
      <w:r>
        <w:rPr>
          <w:rFonts w:eastAsia="仿宋_GB2312"/>
          <w:sz w:val="32"/>
          <w:szCs w:val="32"/>
        </w:rPr>
        <w:t>交通等职能部门按规定依法查处，并纳入企业信用管理。</w:t>
      </w:r>
    </w:p>
    <w:p>
      <w:pPr>
        <w:pStyle w:val="16"/>
        <w:shd w:val="clear" w:color="auto" w:fill="FFFFFF"/>
        <w:spacing w:before="0" w:after="0" w:line="560" w:lineRule="exact"/>
        <w:ind w:firstLineChars="150"/>
        <w:jc w:val="both"/>
        <w:rPr>
          <w:rFonts w:ascii="黑体" w:hAnsi="黑体" w:eastAsia="黑体" w:cs="黑体"/>
          <w:color w:val="000000"/>
          <w:sz w:val="32"/>
          <w:szCs w:val="32"/>
          <w:shd w:val="clear" w:color="auto" w:fill="FFFFFF"/>
        </w:rPr>
      </w:pPr>
      <w:r>
        <w:rPr>
          <w:rFonts w:ascii="黑体" w:hAnsi="黑体" w:eastAsia="黑体" w:cs="黑体"/>
          <w:color w:val="000000"/>
          <w:sz w:val="32"/>
          <w:szCs w:val="32"/>
          <w:shd w:val="clear" w:color="auto" w:fill="FFFFFF"/>
        </w:rPr>
        <w:t>五、工作要求</w:t>
      </w:r>
    </w:p>
    <w:p>
      <w:pPr>
        <w:spacing w:line="560" w:lineRule="exact"/>
        <w:ind w:firstLine="480" w:firstLineChars="150"/>
        <w:jc w:val="left"/>
        <w:rPr>
          <w:rFonts w:eastAsia="仿宋_GB2312"/>
          <w:sz w:val="32"/>
          <w:szCs w:val="32"/>
        </w:rPr>
      </w:pPr>
      <w:r>
        <w:rPr>
          <w:rFonts w:ascii="楷体_GB2312" w:hAnsi="楷体_GB2312" w:eastAsia="楷体_GB2312" w:cs="楷体_GB2312"/>
          <w:color w:val="000000"/>
          <w:kern w:val="0"/>
          <w:sz w:val="32"/>
          <w:szCs w:val="32"/>
          <w:shd w:val="clear" w:color="auto" w:fill="FFFFFF"/>
        </w:rPr>
        <w:t>（一）建立联席会议制度。</w:t>
      </w:r>
      <w:r>
        <w:rPr>
          <w:rFonts w:eastAsia="仿宋_GB2312"/>
          <w:sz w:val="32"/>
          <w:szCs w:val="32"/>
        </w:rPr>
        <w:t>联席会议由市交通运输局、市委文明办、市委网信办、市发改委、市工信局、市城管局、市公安局、市市场监管局、市住建局、市文旅局等部门组成。市交通运输局为牵头单位，各成员单位选派一名科室负责同志担任联络员，</w:t>
      </w:r>
      <w:r>
        <w:rPr>
          <w:rFonts w:hint="eastAsia" w:eastAsia="仿宋_GB2312"/>
          <w:sz w:val="32"/>
          <w:szCs w:val="32"/>
        </w:rPr>
        <w:t>联席会议</w:t>
      </w:r>
      <w:bookmarkStart w:id="5" w:name="_GoBack"/>
      <w:bookmarkEnd w:id="5"/>
      <w:r>
        <w:rPr>
          <w:rFonts w:eastAsia="仿宋_GB2312"/>
          <w:sz w:val="32"/>
          <w:szCs w:val="32"/>
        </w:rPr>
        <w:t>办公室设在市交通运输局，负责定期组织召开联席会议，深入研究行业现状，分析存在问题和矛盾，提出综合治理建议，研究制定行业治理、联合执法、运价调整等方案，督促、指导、推动互联网租赁自行车行业健康有序发展。</w:t>
      </w:r>
    </w:p>
    <w:p>
      <w:pPr>
        <w:spacing w:line="560" w:lineRule="exact"/>
        <w:ind w:firstLine="480" w:firstLineChars="150"/>
        <w:jc w:val="left"/>
        <w:rPr>
          <w:rFonts w:eastAsia="仿宋_GB2312"/>
          <w:sz w:val="32"/>
          <w:szCs w:val="32"/>
        </w:rPr>
      </w:pPr>
      <w:r>
        <w:rPr>
          <w:rFonts w:ascii="黑体" w:hAnsi="黑体" w:eastAsia="黑体" w:cs="楷体_GB2312"/>
          <w:color w:val="000000"/>
          <w:kern w:val="0"/>
          <w:sz w:val="32"/>
          <w:szCs w:val="32"/>
          <w:shd w:val="clear" w:color="auto" w:fill="FFFFFF"/>
        </w:rPr>
        <w:t>（二）加强日常监督管理。</w:t>
      </w:r>
      <w:r>
        <w:rPr>
          <w:rFonts w:eastAsia="仿宋_GB2312"/>
          <w:sz w:val="32"/>
          <w:szCs w:val="32"/>
        </w:rPr>
        <w:t>各部门要按照责任分工，加强沟通配合，形成工作合力，认真做好政策解读、宣传引导、企业评价、监督管理等工作，努力形成共治共享、共抓共管的良好氛围；加强指导和监督管理，创新监管方式，建立完善“双随机”抽查制度，维护各方合法权益；充分发挥舆论监督和社会监督作用，加大对违法违规行为的曝光，多措并举推动中心城区互联网租赁自行车行业有序健康发展。</w:t>
      </w:r>
    </w:p>
    <w:p>
      <w:pPr>
        <w:pStyle w:val="16"/>
        <w:spacing w:before="0" w:after="0" w:line="560" w:lineRule="exact"/>
        <w:ind w:firstLineChars="150"/>
        <w:rPr>
          <w:rFonts w:ascii="Times New Roman" w:hAnsi="Times New Roman" w:eastAsia="仿宋_GB2312" w:cs="Times New Roman"/>
          <w:sz w:val="32"/>
          <w:szCs w:val="32"/>
        </w:rPr>
      </w:pPr>
      <w:r>
        <w:rPr>
          <w:rFonts w:ascii="黑体" w:hAnsi="黑体" w:eastAsia="黑体" w:cs="楷体_GB2312"/>
          <w:color w:val="000000"/>
          <w:sz w:val="32"/>
          <w:szCs w:val="32"/>
          <w:shd w:val="clear" w:color="auto" w:fill="FFFFFF"/>
        </w:rPr>
        <w:t>（三）宣传倡导文明骑行。</w:t>
      </w:r>
      <w:r>
        <w:rPr>
          <w:rFonts w:ascii="Times New Roman" w:hAnsi="Times New Roman" w:eastAsia="仿宋_GB2312" w:cs="Times New Roman"/>
          <w:sz w:val="32"/>
          <w:szCs w:val="32"/>
        </w:rPr>
        <w:t>出台《互联网租赁自行车文明骑行公约》，采取线上线下多种方式，宣传引导广大市民自觉遵守道路交通安全、城市管理相关法律、法规及服务协议约定，做到文明用车、安全骑行、规范停放、爱护车辆和停车设施。鼓励运营企业通过平台推送、公益广告、志愿者活动等多种方式引导使用人安全文明用车、规范停放。（市委文明办负责）</w:t>
      </w:r>
    </w:p>
    <w:p>
      <w:pPr>
        <w:widowControl/>
        <w:spacing w:line="560" w:lineRule="exact"/>
        <w:ind w:firstLine="480" w:firstLineChars="150"/>
        <w:rPr>
          <w:rFonts w:eastAsia="仿宋_GB2312"/>
          <w:sz w:val="32"/>
          <w:szCs w:val="32"/>
        </w:rPr>
      </w:pPr>
      <w:r>
        <w:rPr>
          <w:rFonts w:ascii="黑体" w:hAnsi="黑体" w:eastAsia="黑体" w:cs="楷体_GB2312"/>
          <w:color w:val="000000"/>
          <w:kern w:val="0"/>
          <w:sz w:val="32"/>
          <w:szCs w:val="32"/>
          <w:shd w:val="clear" w:color="auto" w:fill="FFFFFF"/>
        </w:rPr>
        <w:t>（四）规划建设停放点位。</w:t>
      </w:r>
      <w:r>
        <w:rPr>
          <w:rFonts w:eastAsia="仿宋_GB2312"/>
          <w:sz w:val="32"/>
          <w:szCs w:val="32"/>
        </w:rPr>
        <w:t>严格执行《汉中市中心城区道沿以上区域科学合理规划停车泊位实施方案》，做好共享单车停车位及电子围栏施划工作，切实解决共享单车停车难问题。（</w:t>
      </w:r>
      <w:r>
        <w:rPr>
          <w:rFonts w:eastAsia="仿宋_GB2312"/>
          <w:color w:val="000000"/>
          <w:sz w:val="32"/>
          <w:szCs w:val="32"/>
        </w:rPr>
        <w:t>市城管局、市公安局、市住建局、汉台区政府、南郑区政府负责</w:t>
      </w:r>
      <w:r>
        <w:rPr>
          <w:rFonts w:eastAsia="仿宋_GB2312"/>
          <w:sz w:val="32"/>
          <w:szCs w:val="32"/>
        </w:rPr>
        <w:t>）</w:t>
      </w:r>
    </w:p>
    <w:p>
      <w:pPr>
        <w:widowControl/>
        <w:spacing w:line="560" w:lineRule="exact"/>
        <w:ind w:firstLine="480" w:firstLineChars="150"/>
        <w:rPr>
          <w:rFonts w:eastAsia="仿宋_GB2312"/>
          <w:kern w:val="0"/>
          <w:sz w:val="32"/>
          <w:szCs w:val="32"/>
        </w:rPr>
      </w:pPr>
      <w:r>
        <w:rPr>
          <w:rFonts w:ascii="黑体" w:hAnsi="黑体" w:eastAsia="黑体" w:cs="楷体_GB2312"/>
          <w:color w:val="000000"/>
          <w:kern w:val="0"/>
          <w:sz w:val="32"/>
          <w:szCs w:val="32"/>
          <w:shd w:val="clear" w:color="auto" w:fill="FFFFFF"/>
        </w:rPr>
        <w:t>（五）规范骑行停放行为。</w:t>
      </w:r>
      <w:r>
        <w:rPr>
          <w:rFonts w:eastAsia="仿宋_GB2312"/>
          <w:kern w:val="0"/>
          <w:sz w:val="32"/>
          <w:szCs w:val="32"/>
        </w:rPr>
        <w:t>出台《汉中市中心城区互联网租赁自行车骑行人违规停放联合惩戒机制》，加强宣传教育，严格制度执行，督促运营企业联合惩戒骑行人违规停放行为，有效提升车辆规范停放管理水平。（互联网租赁自行车运营企业负责）</w:t>
      </w:r>
    </w:p>
    <w:p>
      <w:pPr>
        <w:widowControl/>
        <w:spacing w:line="560" w:lineRule="exact"/>
        <w:ind w:firstLine="640" w:firstLineChars="200"/>
        <w:rPr>
          <w:rFonts w:eastAsia="仿宋_GB2312"/>
          <w:sz w:val="32"/>
          <w:szCs w:val="32"/>
        </w:rPr>
      </w:pPr>
      <w:r>
        <w:rPr>
          <w:rFonts w:ascii="黑体" w:hAnsi="黑体" w:eastAsia="黑体" w:cs="楷体_GB2312"/>
          <w:color w:val="000000"/>
          <w:kern w:val="0"/>
          <w:sz w:val="32"/>
          <w:szCs w:val="32"/>
          <w:shd w:val="clear" w:color="auto" w:fill="FFFFFF"/>
        </w:rPr>
        <w:t>（六）开展服务质量评价。</w:t>
      </w:r>
      <w:r>
        <w:rPr>
          <w:rFonts w:eastAsia="仿宋_GB2312"/>
          <w:sz w:val="32"/>
          <w:szCs w:val="32"/>
        </w:rPr>
        <w:t>按照投放总量不变、运营管理奖优罚劣的原则，</w:t>
      </w:r>
      <w:r>
        <w:rPr>
          <w:rFonts w:eastAsia="仿宋_GB2312"/>
          <w:kern w:val="0"/>
          <w:sz w:val="32"/>
          <w:szCs w:val="32"/>
        </w:rPr>
        <w:t>依据《汉中市互联网租赁自行车运营服务质量评价办法》（附后），定期组织开展运营企业质量服务质量评价，对管理规范、信誉良好的企业增加车辆投放数量，对管理混乱、信誉差的企业减少车辆投放数量，对累教不改的，强制要求退出共享单车市场。（市城管局、市交通运输局、市公安局负责）</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附件：1、汉中市互联网租赁自行车运营服务质量评价办法</w:t>
      </w:r>
    </w:p>
    <w:p>
      <w:pPr>
        <w:pStyle w:val="2"/>
        <w:spacing w:before="0" w:after="0" w:line="560" w:lineRule="exact"/>
        <w:ind w:left="1916" w:leftChars="760" w:hanging="320" w:hangingChars="100"/>
        <w:rPr>
          <w:rFonts w:eastAsia="仿宋_GB2312"/>
          <w:sz w:val="32"/>
          <w:szCs w:val="32"/>
        </w:rPr>
      </w:pPr>
      <w:r>
        <w:rPr>
          <w:rFonts w:eastAsia="仿宋_GB2312"/>
          <w:b w:val="0"/>
          <w:bCs/>
          <w:sz w:val="32"/>
          <w:szCs w:val="32"/>
        </w:rPr>
        <w:t>2、汉中市互联网租赁自行车服务质量评价办法及评分细则</w:t>
      </w:r>
    </w:p>
    <w:p>
      <w:pPr>
        <w:tabs>
          <w:tab w:val="left" w:pos="3630"/>
        </w:tabs>
        <w:spacing w:line="560" w:lineRule="exact"/>
        <w:rPr>
          <w:rFonts w:eastAsia="仿宋_GB2312"/>
          <w:sz w:val="32"/>
          <w:szCs w:val="32"/>
        </w:rPr>
      </w:pPr>
    </w:p>
    <w:p>
      <w:pPr>
        <w:tabs>
          <w:tab w:val="left" w:pos="3630"/>
        </w:tabs>
        <w:spacing w:line="560" w:lineRule="exact"/>
        <w:ind w:firstLine="1280" w:firstLineChars="400"/>
        <w:rPr>
          <w:rFonts w:eastAsia="仿宋_GB2312"/>
          <w:sz w:val="32"/>
          <w:szCs w:val="32"/>
        </w:rPr>
      </w:pPr>
    </w:p>
    <w:p>
      <w:pPr>
        <w:tabs>
          <w:tab w:val="left" w:pos="3630"/>
        </w:tabs>
        <w:spacing w:line="560" w:lineRule="exact"/>
        <w:ind w:firstLine="1280" w:firstLineChars="400"/>
        <w:rPr>
          <w:rFonts w:eastAsia="仿宋_GB2312"/>
          <w:sz w:val="32"/>
          <w:szCs w:val="32"/>
        </w:rPr>
      </w:pPr>
    </w:p>
    <w:p>
      <w:pPr>
        <w:tabs>
          <w:tab w:val="left" w:pos="3630"/>
        </w:tabs>
        <w:spacing w:line="560" w:lineRule="exact"/>
        <w:ind w:firstLine="1280" w:firstLineChars="400"/>
        <w:rPr>
          <w:rFonts w:eastAsia="仿宋_GB2312"/>
          <w:sz w:val="32"/>
          <w:szCs w:val="32"/>
        </w:rPr>
      </w:pPr>
    </w:p>
    <w:p>
      <w:pPr>
        <w:tabs>
          <w:tab w:val="left" w:pos="3630"/>
        </w:tabs>
        <w:spacing w:line="560" w:lineRule="exact"/>
        <w:ind w:firstLine="1280" w:firstLineChars="400"/>
        <w:rPr>
          <w:rFonts w:eastAsia="仿宋_GB2312"/>
          <w:sz w:val="32"/>
          <w:szCs w:val="32"/>
        </w:rPr>
      </w:pPr>
    </w:p>
    <w:p>
      <w:pPr>
        <w:tabs>
          <w:tab w:val="left" w:pos="3630"/>
        </w:tabs>
        <w:spacing w:line="560" w:lineRule="exact"/>
        <w:ind w:firstLine="1280" w:firstLineChars="400"/>
        <w:rPr>
          <w:rFonts w:eastAsia="仿宋_GB2312"/>
          <w:sz w:val="32"/>
          <w:szCs w:val="32"/>
        </w:rPr>
      </w:pPr>
    </w:p>
    <w:p>
      <w:pPr>
        <w:tabs>
          <w:tab w:val="left" w:pos="3630"/>
        </w:tabs>
        <w:spacing w:line="560" w:lineRule="exact"/>
        <w:ind w:firstLine="1280" w:firstLineChars="400"/>
        <w:rPr>
          <w:rFonts w:eastAsia="仿宋_GB2312"/>
          <w:sz w:val="32"/>
          <w:szCs w:val="32"/>
        </w:rPr>
      </w:pPr>
    </w:p>
    <w:p>
      <w:pPr>
        <w:tabs>
          <w:tab w:val="left" w:pos="3630"/>
        </w:tabs>
        <w:spacing w:line="560" w:lineRule="exact"/>
        <w:ind w:firstLine="1280" w:firstLineChars="400"/>
        <w:rPr>
          <w:rFonts w:eastAsia="仿宋_GB2312"/>
          <w:sz w:val="32"/>
          <w:szCs w:val="32"/>
        </w:rPr>
      </w:pPr>
    </w:p>
    <w:p>
      <w:pPr>
        <w:tabs>
          <w:tab w:val="left" w:pos="3630"/>
        </w:tabs>
        <w:spacing w:line="560" w:lineRule="exact"/>
        <w:ind w:firstLine="1280" w:firstLineChars="400"/>
        <w:rPr>
          <w:rFonts w:eastAsia="仿宋_GB2312"/>
          <w:sz w:val="32"/>
          <w:szCs w:val="32"/>
        </w:rPr>
      </w:pPr>
    </w:p>
    <w:p>
      <w:pPr>
        <w:tabs>
          <w:tab w:val="left" w:pos="3630"/>
        </w:tabs>
        <w:spacing w:line="560" w:lineRule="exact"/>
        <w:ind w:firstLine="1280" w:firstLineChars="400"/>
        <w:rPr>
          <w:rFonts w:eastAsia="仿宋_GB2312"/>
          <w:sz w:val="32"/>
          <w:szCs w:val="32"/>
        </w:rPr>
      </w:pPr>
      <w:r>
        <w:rPr>
          <w:rFonts w:eastAsia="仿宋_GB2312"/>
          <w:sz w:val="32"/>
          <w:szCs w:val="32"/>
        </w:rPr>
        <w:t xml:space="preserve">汉中市交通运输局        </w:t>
      </w:r>
      <w:r>
        <w:rPr>
          <w:rFonts w:hint="eastAsia" w:eastAsia="仿宋_GB2312"/>
          <w:sz w:val="32"/>
          <w:szCs w:val="32"/>
        </w:rPr>
        <w:t xml:space="preserve">   汉中</w:t>
      </w:r>
      <w:r>
        <w:rPr>
          <w:rFonts w:eastAsia="仿宋_GB2312"/>
          <w:sz w:val="32"/>
          <w:szCs w:val="32"/>
        </w:rPr>
        <w:t>市委文明办</w:t>
      </w:r>
    </w:p>
    <w:p>
      <w:pPr>
        <w:tabs>
          <w:tab w:val="left" w:pos="3630"/>
        </w:tabs>
        <w:spacing w:line="560" w:lineRule="exact"/>
        <w:ind w:firstLine="640" w:firstLineChars="200"/>
        <w:rPr>
          <w:rFonts w:eastAsia="仿宋_GB2312"/>
          <w:sz w:val="32"/>
          <w:szCs w:val="32"/>
        </w:rPr>
      </w:pPr>
    </w:p>
    <w:p>
      <w:pPr>
        <w:tabs>
          <w:tab w:val="left" w:pos="3630"/>
        </w:tabs>
        <w:spacing w:line="560" w:lineRule="exact"/>
        <w:ind w:firstLine="640" w:firstLineChars="200"/>
        <w:rPr>
          <w:rFonts w:eastAsia="仿宋_GB2312"/>
          <w:sz w:val="32"/>
          <w:szCs w:val="32"/>
        </w:rPr>
      </w:pPr>
    </w:p>
    <w:p>
      <w:pPr>
        <w:tabs>
          <w:tab w:val="left" w:pos="3630"/>
        </w:tabs>
        <w:spacing w:line="560" w:lineRule="exact"/>
        <w:ind w:firstLine="1280" w:firstLineChars="400"/>
        <w:rPr>
          <w:rFonts w:eastAsia="仿宋_GB2312"/>
          <w:sz w:val="32"/>
          <w:szCs w:val="32"/>
        </w:rPr>
      </w:pPr>
      <w:r>
        <w:rPr>
          <w:rFonts w:hint="eastAsia" w:eastAsia="仿宋_GB2312"/>
          <w:sz w:val="32"/>
          <w:szCs w:val="32"/>
        </w:rPr>
        <w:t>汉中</w:t>
      </w:r>
      <w:r>
        <w:rPr>
          <w:rFonts w:eastAsia="仿宋_GB2312"/>
          <w:sz w:val="32"/>
          <w:szCs w:val="32"/>
        </w:rPr>
        <w:t>市委</w:t>
      </w:r>
      <w:r>
        <w:rPr>
          <w:rFonts w:hint="eastAsia" w:eastAsia="仿宋_GB2312"/>
          <w:sz w:val="32"/>
          <w:szCs w:val="32"/>
        </w:rPr>
        <w:t>网信办</w:t>
      </w:r>
      <w:r>
        <w:rPr>
          <w:rFonts w:eastAsia="仿宋_GB2312"/>
          <w:sz w:val="32"/>
          <w:szCs w:val="32"/>
        </w:rPr>
        <w:t xml:space="preserve">        汉中市发展和改革委员会</w:t>
      </w:r>
    </w:p>
    <w:p>
      <w:pPr>
        <w:tabs>
          <w:tab w:val="left" w:pos="3630"/>
        </w:tabs>
        <w:spacing w:line="560" w:lineRule="exact"/>
        <w:rPr>
          <w:rFonts w:eastAsia="仿宋_GB2312"/>
          <w:sz w:val="32"/>
          <w:szCs w:val="32"/>
        </w:rPr>
      </w:pPr>
      <w:r>
        <w:rPr>
          <w:rFonts w:hint="eastAsia" w:eastAsia="仿宋_GB2312"/>
          <w:sz w:val="32"/>
          <w:szCs w:val="32"/>
        </w:rPr>
        <w:t xml:space="preserve">        </w:t>
      </w:r>
    </w:p>
    <w:p>
      <w:pPr>
        <w:tabs>
          <w:tab w:val="left" w:pos="3630"/>
        </w:tabs>
        <w:spacing w:line="560" w:lineRule="exact"/>
        <w:rPr>
          <w:rFonts w:eastAsia="仿宋_GB2312"/>
          <w:sz w:val="32"/>
          <w:szCs w:val="32"/>
        </w:rPr>
      </w:pPr>
      <w:r>
        <w:rPr>
          <w:rFonts w:hint="eastAsia" w:eastAsia="仿宋_GB2312"/>
          <w:sz w:val="32"/>
          <w:szCs w:val="32"/>
        </w:rPr>
        <w:t xml:space="preserve">      </w:t>
      </w:r>
      <w:r>
        <w:rPr>
          <w:rFonts w:eastAsia="仿宋_GB2312"/>
          <w:sz w:val="32"/>
          <w:szCs w:val="32"/>
        </w:rPr>
        <w:t xml:space="preserve">汉中市工业和信息化局     </w:t>
      </w:r>
      <w:r>
        <w:rPr>
          <w:rFonts w:hint="eastAsia" w:eastAsia="仿宋_GB2312"/>
          <w:sz w:val="32"/>
          <w:szCs w:val="32"/>
        </w:rPr>
        <w:t xml:space="preserve">  </w:t>
      </w:r>
      <w:r>
        <w:rPr>
          <w:rFonts w:eastAsia="仿宋_GB2312"/>
          <w:sz w:val="32"/>
          <w:szCs w:val="32"/>
        </w:rPr>
        <w:t xml:space="preserve"> 汉中市城市管理局</w:t>
      </w:r>
    </w:p>
    <w:p>
      <w:pPr>
        <w:tabs>
          <w:tab w:val="left" w:pos="3630"/>
        </w:tabs>
        <w:spacing w:line="560" w:lineRule="exact"/>
        <w:ind w:firstLine="640" w:firstLineChars="200"/>
        <w:rPr>
          <w:rFonts w:eastAsia="仿宋_GB2312"/>
          <w:sz w:val="32"/>
          <w:szCs w:val="32"/>
        </w:rPr>
      </w:pPr>
    </w:p>
    <w:p>
      <w:pPr>
        <w:tabs>
          <w:tab w:val="left" w:pos="3630"/>
        </w:tabs>
        <w:spacing w:line="560" w:lineRule="exact"/>
        <w:ind w:firstLine="640" w:firstLineChars="200"/>
        <w:rPr>
          <w:rFonts w:eastAsia="仿宋_GB2312"/>
          <w:sz w:val="32"/>
          <w:szCs w:val="32"/>
        </w:rPr>
      </w:pPr>
    </w:p>
    <w:p>
      <w:pPr>
        <w:tabs>
          <w:tab w:val="left" w:pos="3630"/>
        </w:tabs>
        <w:spacing w:line="560" w:lineRule="exact"/>
        <w:rPr>
          <w:rFonts w:eastAsia="仿宋_GB2312"/>
          <w:sz w:val="32"/>
          <w:szCs w:val="32"/>
        </w:rPr>
      </w:pPr>
      <w:r>
        <w:rPr>
          <w:rFonts w:hint="eastAsia" w:eastAsia="仿宋_GB2312"/>
          <w:sz w:val="32"/>
          <w:szCs w:val="32"/>
        </w:rPr>
        <w:t xml:space="preserve">        </w:t>
      </w:r>
      <w:r>
        <w:rPr>
          <w:rFonts w:eastAsia="仿宋_GB2312"/>
          <w:sz w:val="32"/>
          <w:szCs w:val="32"/>
        </w:rPr>
        <w:t>汉中市公安局          汉中市市场监督管理局</w:t>
      </w:r>
    </w:p>
    <w:p>
      <w:pPr>
        <w:tabs>
          <w:tab w:val="left" w:pos="3630"/>
        </w:tabs>
        <w:spacing w:line="560" w:lineRule="exact"/>
        <w:ind w:firstLine="640" w:firstLineChars="200"/>
        <w:rPr>
          <w:rFonts w:eastAsia="仿宋_GB2312"/>
          <w:sz w:val="32"/>
          <w:szCs w:val="32"/>
        </w:rPr>
      </w:pPr>
    </w:p>
    <w:p>
      <w:pPr>
        <w:spacing w:line="560" w:lineRule="exact"/>
        <w:rPr>
          <w:rFonts w:eastAsia="仿宋_GB2312"/>
          <w:sz w:val="32"/>
          <w:szCs w:val="32"/>
        </w:rPr>
      </w:pPr>
      <w:r>
        <w:rPr>
          <w:rFonts w:hint="eastAsia" w:eastAsia="仿宋_GB2312"/>
          <w:sz w:val="32"/>
          <w:szCs w:val="32"/>
        </w:rPr>
        <w:t xml:space="preserve">       </w:t>
      </w:r>
      <w:r>
        <w:rPr>
          <w:rFonts w:eastAsia="仿宋_GB2312"/>
          <w:sz w:val="32"/>
          <w:szCs w:val="32"/>
        </w:rPr>
        <w:t xml:space="preserve">汉中市自然资源局  </w:t>
      </w:r>
      <w:r>
        <w:rPr>
          <w:rFonts w:hint="eastAsia" w:eastAsia="仿宋_GB2312"/>
          <w:sz w:val="32"/>
          <w:szCs w:val="32"/>
        </w:rPr>
        <w:t xml:space="preserve">    </w:t>
      </w:r>
      <w:r>
        <w:rPr>
          <w:rFonts w:eastAsia="仿宋_GB2312"/>
          <w:sz w:val="32"/>
          <w:szCs w:val="32"/>
        </w:rPr>
        <w:t xml:space="preserve"> 汉中市住房和城乡建设局</w:t>
      </w:r>
    </w:p>
    <w:p>
      <w:pPr>
        <w:spacing w:line="560" w:lineRule="exact"/>
        <w:rPr>
          <w:rFonts w:eastAsia="仿宋_GB2312"/>
          <w:sz w:val="32"/>
          <w:szCs w:val="32"/>
        </w:rPr>
      </w:pPr>
      <w:r>
        <w:rPr>
          <w:rFonts w:eastAsia="仿宋_GB2312"/>
          <w:sz w:val="32"/>
          <w:szCs w:val="32"/>
        </w:rPr>
        <w:t xml:space="preserve">      </w:t>
      </w:r>
    </w:p>
    <w:p>
      <w:pPr>
        <w:spacing w:line="560" w:lineRule="exact"/>
        <w:ind w:firstLine="800" w:firstLineChars="250"/>
        <w:rPr>
          <w:rFonts w:eastAsia="仿宋_GB2312"/>
          <w:sz w:val="32"/>
          <w:szCs w:val="32"/>
        </w:rPr>
      </w:pPr>
      <w:r>
        <w:rPr>
          <w:rFonts w:eastAsia="仿宋_GB2312"/>
          <w:sz w:val="32"/>
          <w:szCs w:val="32"/>
        </w:rPr>
        <w:t xml:space="preserve"> </w:t>
      </w:r>
      <w:r>
        <w:rPr>
          <w:rFonts w:hint="eastAsia" w:eastAsia="仿宋_GB2312"/>
          <w:sz w:val="32"/>
          <w:szCs w:val="32"/>
        </w:rPr>
        <w:t>汉中市文化和旅游局</w:t>
      </w:r>
      <w:r>
        <w:rPr>
          <w:rFonts w:eastAsia="仿宋_GB2312"/>
          <w:sz w:val="32"/>
          <w:szCs w:val="32"/>
        </w:rPr>
        <w:t xml:space="preserve">      </w:t>
      </w:r>
      <w:r>
        <w:rPr>
          <w:rFonts w:hint="eastAsia" w:eastAsia="仿宋_GB2312"/>
          <w:sz w:val="32"/>
          <w:szCs w:val="32"/>
        </w:rPr>
        <w:t>中国人民银行汉中市中心支行</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p>
    <w:p>
      <w:pPr>
        <w:spacing w:line="560" w:lineRule="exact"/>
        <w:rPr>
          <w:rFonts w:eastAsia="仿宋_GB2312"/>
          <w:sz w:val="32"/>
          <w:szCs w:val="32"/>
        </w:rPr>
      </w:pPr>
    </w:p>
    <w:p>
      <w:pPr>
        <w:spacing w:line="560" w:lineRule="exact"/>
        <w:ind w:firstLine="4960" w:firstLineChars="1550"/>
        <w:rPr>
          <w:rFonts w:eastAsia="仿宋_GB2312"/>
          <w:sz w:val="32"/>
          <w:szCs w:val="32"/>
        </w:rPr>
      </w:pPr>
      <w:r>
        <w:rPr>
          <w:rFonts w:eastAsia="仿宋_GB2312"/>
          <w:sz w:val="32"/>
          <w:szCs w:val="32"/>
        </w:rPr>
        <w:t>202</w:t>
      </w:r>
      <w:r>
        <w:rPr>
          <w:rFonts w:hint="eastAsia" w:eastAsia="仿宋_GB2312"/>
          <w:sz w:val="32"/>
          <w:szCs w:val="32"/>
        </w:rPr>
        <w:t>3</w:t>
      </w:r>
      <w:r>
        <w:rPr>
          <w:rFonts w:eastAsia="仿宋_GB2312"/>
          <w:sz w:val="32"/>
          <w:szCs w:val="32"/>
        </w:rPr>
        <w:t>年</w:t>
      </w:r>
      <w:r>
        <w:rPr>
          <w:rFonts w:hint="eastAsia" w:eastAsia="仿宋_GB2312"/>
          <w:sz w:val="32"/>
          <w:szCs w:val="32"/>
        </w:rPr>
        <w:t>6</w:t>
      </w:r>
      <w:r>
        <w:rPr>
          <w:rFonts w:eastAsia="仿宋_GB2312"/>
          <w:sz w:val="32"/>
          <w:szCs w:val="32"/>
        </w:rPr>
        <w:t>月</w:t>
      </w:r>
      <w:r>
        <w:rPr>
          <w:rFonts w:hint="eastAsia" w:eastAsia="仿宋_GB2312"/>
          <w:sz w:val="32"/>
          <w:szCs w:val="32"/>
        </w:rPr>
        <w:t xml:space="preserve">  </w:t>
      </w:r>
      <w:r>
        <w:rPr>
          <w:rFonts w:eastAsia="仿宋_GB2312"/>
          <w:sz w:val="32"/>
          <w:szCs w:val="32"/>
        </w:rPr>
        <w:t>日</w:t>
      </w:r>
    </w:p>
    <w:p>
      <w:pPr>
        <w:spacing w:line="560" w:lineRule="exact"/>
        <w:rPr>
          <w:rFonts w:eastAsia="仿宋_GB2312"/>
          <w:sz w:val="32"/>
          <w:szCs w:val="32"/>
        </w:rPr>
      </w:pPr>
      <w:r>
        <w:rPr>
          <w:rFonts w:eastAsia="仿宋_GB2312"/>
          <w:sz w:val="32"/>
          <w:szCs w:val="32"/>
        </w:rPr>
        <w:t xml:space="preserve">                                                           </w:t>
      </w:r>
    </w:p>
    <w:p>
      <w:pPr>
        <w:spacing w:line="560" w:lineRule="exact"/>
        <w:outlineLvl w:val="1"/>
        <w:rPr>
          <w:rFonts w:eastAsia="仿宋_GB2312"/>
          <w:sz w:val="32"/>
          <w:szCs w:val="32"/>
        </w:rPr>
      </w:pPr>
    </w:p>
    <w:p>
      <w:pPr>
        <w:spacing w:line="590" w:lineRule="exact"/>
        <w:outlineLvl w:val="1"/>
        <w:rPr>
          <w:rFonts w:eastAsia="仿宋_GB2312"/>
          <w:sz w:val="32"/>
          <w:szCs w:val="32"/>
        </w:rPr>
      </w:pPr>
    </w:p>
    <w:p>
      <w:pPr>
        <w:spacing w:line="640" w:lineRule="exact"/>
        <w:jc w:val="left"/>
        <w:rPr>
          <w:rFonts w:eastAsia="仿宋_GB2312"/>
          <w:sz w:val="32"/>
          <w:szCs w:val="32"/>
        </w:rPr>
      </w:pPr>
    </w:p>
    <w:p>
      <w:pPr>
        <w:pStyle w:val="2"/>
        <w:rPr>
          <w:rFonts w:eastAsia="仿宋_GB2312"/>
          <w:sz w:val="32"/>
          <w:szCs w:val="32"/>
        </w:rPr>
      </w:pPr>
    </w:p>
    <w:p>
      <w:pPr>
        <w:rPr>
          <w:rFonts w:eastAsia="仿宋_GB2312"/>
          <w:sz w:val="32"/>
          <w:szCs w:val="32"/>
        </w:rPr>
      </w:pPr>
    </w:p>
    <w:p>
      <w:pPr>
        <w:pStyle w:val="16"/>
        <w:shd w:val="clear" w:color="auto" w:fill="FFFFFF"/>
        <w:spacing w:line="560" w:lineRule="atLeast"/>
        <w:ind w:firstLine="0"/>
        <w:jc w:val="both"/>
        <w:rPr>
          <w:rFonts w:ascii="黑体" w:hAnsi="黑体" w:eastAsia="黑体" w:cs="黑体"/>
          <w:sz w:val="32"/>
          <w:szCs w:val="32"/>
        </w:rPr>
      </w:pPr>
      <w:r>
        <w:rPr>
          <w:rFonts w:hint="eastAsia" w:ascii="黑体" w:hAnsi="黑体" w:eastAsia="黑体" w:cs="黑体"/>
          <w:sz w:val="32"/>
          <w:szCs w:val="32"/>
        </w:rPr>
        <w:t>附件1：</w:t>
      </w:r>
    </w:p>
    <w:p>
      <w:pPr>
        <w:spacing w:line="400" w:lineRule="exact"/>
        <w:jc w:val="center"/>
        <w:rPr>
          <w:rFonts w:eastAsia="仿宋_GB2312"/>
          <w:sz w:val="36"/>
          <w:szCs w:val="36"/>
        </w:rPr>
      </w:pPr>
      <w:bookmarkStart w:id="0" w:name="_Toc15602"/>
    </w:p>
    <w:p>
      <w:pPr>
        <w:spacing w:line="560" w:lineRule="atLeast"/>
        <w:jc w:val="center"/>
        <w:rPr>
          <w:rFonts w:ascii="黑体" w:hAnsi="黑体" w:eastAsia="黑体"/>
          <w:sz w:val="32"/>
          <w:szCs w:val="32"/>
        </w:rPr>
      </w:pPr>
      <w:r>
        <w:rPr>
          <w:rFonts w:ascii="黑体" w:hAnsi="黑体" w:eastAsia="黑体"/>
          <w:sz w:val="32"/>
          <w:szCs w:val="32"/>
        </w:rPr>
        <w:t>汉中市互联网租赁自行车运营服务质量评价办法</w:t>
      </w:r>
      <w:bookmarkEnd w:id="0"/>
    </w:p>
    <w:p>
      <w:pPr>
        <w:pStyle w:val="46"/>
        <w:numPr>
          <w:ilvl w:val="0"/>
          <w:numId w:val="0"/>
        </w:numPr>
        <w:spacing w:before="156" w:after="156" w:line="400" w:lineRule="atLeast"/>
        <w:ind w:firstLine="643" w:firstLineChars="200"/>
        <w:rPr>
          <w:rFonts w:ascii="Times New Roman" w:eastAsia="仿宋_GB2312"/>
          <w:b/>
          <w:bCs/>
          <w:sz w:val="32"/>
          <w:szCs w:val="32"/>
        </w:rPr>
      </w:pPr>
    </w:p>
    <w:p>
      <w:pPr>
        <w:pStyle w:val="46"/>
        <w:numPr>
          <w:ilvl w:val="0"/>
          <w:numId w:val="0"/>
        </w:numPr>
        <w:spacing w:before="156" w:after="156" w:line="560" w:lineRule="exact"/>
        <w:ind w:firstLine="643" w:firstLineChars="200"/>
        <w:jc w:val="both"/>
        <w:rPr>
          <w:rFonts w:ascii="Times New Roman" w:eastAsia="仿宋_GB2312"/>
          <w:sz w:val="32"/>
          <w:szCs w:val="32"/>
        </w:rPr>
      </w:pPr>
      <w:r>
        <w:rPr>
          <w:rFonts w:ascii="Times New Roman" w:eastAsia="仿宋_GB2312"/>
          <w:b/>
          <w:bCs/>
          <w:sz w:val="32"/>
          <w:szCs w:val="32"/>
        </w:rPr>
        <w:t xml:space="preserve">第一条  </w:t>
      </w:r>
      <w:r>
        <w:rPr>
          <w:rFonts w:ascii="Times New Roman" w:eastAsia="仿宋_GB2312"/>
          <w:sz w:val="32"/>
          <w:szCs w:val="32"/>
        </w:rPr>
        <w:t>为规范互联网租赁自行车运营企业的经营行为，建立完善互联网租赁自行车行业诚信体系，提升互联网租赁自行车服务水平，依据国家相关法律、法规和标准，特制定本办法。</w:t>
      </w:r>
    </w:p>
    <w:p>
      <w:pPr>
        <w:pStyle w:val="46"/>
        <w:numPr>
          <w:ilvl w:val="0"/>
          <w:numId w:val="0"/>
        </w:numPr>
        <w:spacing w:before="156" w:after="156" w:line="560" w:lineRule="exact"/>
        <w:ind w:firstLine="643" w:firstLineChars="200"/>
        <w:jc w:val="both"/>
        <w:rPr>
          <w:rFonts w:ascii="Times New Roman" w:eastAsia="仿宋_GB2312"/>
          <w:sz w:val="32"/>
          <w:szCs w:val="32"/>
        </w:rPr>
      </w:pPr>
      <w:r>
        <w:rPr>
          <w:rFonts w:ascii="Times New Roman" w:eastAsia="仿宋_GB2312"/>
          <w:b/>
          <w:bCs/>
          <w:sz w:val="32"/>
          <w:szCs w:val="32"/>
        </w:rPr>
        <w:t xml:space="preserve">第二条  </w:t>
      </w:r>
      <w:r>
        <w:rPr>
          <w:rFonts w:ascii="Times New Roman" w:eastAsia="仿宋_GB2312"/>
          <w:sz w:val="32"/>
          <w:szCs w:val="32"/>
        </w:rPr>
        <w:t>本办法所称互联网租赁自行车是指以互联网技术为依托，由运营企业投放的分时租赁营运的自行车。</w:t>
      </w:r>
    </w:p>
    <w:p>
      <w:pPr>
        <w:pStyle w:val="46"/>
        <w:numPr>
          <w:ilvl w:val="0"/>
          <w:numId w:val="0"/>
        </w:numPr>
        <w:spacing w:before="156" w:after="156" w:line="560" w:lineRule="exact"/>
        <w:ind w:firstLine="643" w:firstLineChars="200"/>
        <w:jc w:val="both"/>
        <w:rPr>
          <w:rFonts w:ascii="Times New Roman" w:eastAsia="仿宋_GB2312"/>
          <w:sz w:val="32"/>
          <w:szCs w:val="32"/>
        </w:rPr>
      </w:pPr>
      <w:r>
        <w:rPr>
          <w:rFonts w:ascii="Times New Roman" w:eastAsia="仿宋_GB2312"/>
          <w:b/>
          <w:bCs/>
          <w:sz w:val="32"/>
          <w:szCs w:val="32"/>
        </w:rPr>
        <w:t xml:space="preserve">第三条  </w:t>
      </w:r>
      <w:r>
        <w:rPr>
          <w:rFonts w:ascii="Times New Roman" w:eastAsia="仿宋_GB2312"/>
          <w:color w:val="000000"/>
          <w:sz w:val="32"/>
          <w:szCs w:val="32"/>
        </w:rPr>
        <w:t>评价</w:t>
      </w:r>
      <w:r>
        <w:rPr>
          <w:rFonts w:ascii="Times New Roman" w:eastAsia="仿宋_GB2312"/>
          <w:sz w:val="32"/>
          <w:szCs w:val="32"/>
        </w:rPr>
        <w:t>对象为在本市提供互联网租赁自行车服务的运营企业。</w:t>
      </w:r>
    </w:p>
    <w:p>
      <w:pPr>
        <w:pStyle w:val="46"/>
        <w:numPr>
          <w:ilvl w:val="0"/>
          <w:numId w:val="0"/>
        </w:numPr>
        <w:spacing w:before="156" w:after="156" w:line="560" w:lineRule="exact"/>
        <w:ind w:firstLine="643" w:firstLineChars="200"/>
        <w:jc w:val="both"/>
        <w:rPr>
          <w:rFonts w:ascii="Times New Roman" w:eastAsia="仿宋_GB2312"/>
          <w:sz w:val="32"/>
          <w:szCs w:val="32"/>
        </w:rPr>
      </w:pPr>
      <w:r>
        <w:rPr>
          <w:rFonts w:ascii="Times New Roman" w:eastAsia="仿宋_GB2312"/>
          <w:b/>
          <w:bCs/>
          <w:sz w:val="32"/>
          <w:szCs w:val="32"/>
        </w:rPr>
        <w:t xml:space="preserve">第四条  </w:t>
      </w:r>
      <w:r>
        <w:rPr>
          <w:rFonts w:ascii="Times New Roman" w:eastAsia="仿宋_GB2312"/>
          <w:sz w:val="32"/>
          <w:szCs w:val="32"/>
        </w:rPr>
        <w:t>互联网租赁自行车服务质量评价工作应当遵循公开、公平、公正的原则。</w:t>
      </w:r>
    </w:p>
    <w:p>
      <w:pPr>
        <w:pStyle w:val="46"/>
        <w:numPr>
          <w:ilvl w:val="0"/>
          <w:numId w:val="0"/>
        </w:numPr>
        <w:spacing w:before="156" w:after="156" w:line="560" w:lineRule="exact"/>
        <w:ind w:firstLine="643" w:firstLineChars="200"/>
        <w:jc w:val="both"/>
        <w:rPr>
          <w:rFonts w:ascii="Times New Roman" w:eastAsia="仿宋_GB2312"/>
          <w:sz w:val="32"/>
          <w:szCs w:val="32"/>
        </w:rPr>
      </w:pPr>
      <w:r>
        <w:rPr>
          <w:rFonts w:ascii="Times New Roman" w:eastAsia="仿宋_GB2312"/>
          <w:b/>
          <w:bCs/>
          <w:sz w:val="32"/>
          <w:szCs w:val="32"/>
        </w:rPr>
        <w:t xml:space="preserve">第五条  </w:t>
      </w:r>
      <w:r>
        <w:rPr>
          <w:rFonts w:ascii="Times New Roman" w:eastAsia="仿宋_GB2312"/>
          <w:sz w:val="32"/>
          <w:szCs w:val="32"/>
        </w:rPr>
        <w:t>互联网租赁自行车运营企业应当自觉遵守国家相关法律、法规及相关规定，加强管理，诚信经营，履行社会责任，为社会提供安全、优质的自行车租赁服务。</w:t>
      </w:r>
    </w:p>
    <w:p>
      <w:pPr>
        <w:pStyle w:val="46"/>
        <w:numPr>
          <w:ilvl w:val="0"/>
          <w:numId w:val="0"/>
        </w:numPr>
        <w:spacing w:before="156" w:after="156" w:line="560" w:lineRule="exact"/>
        <w:ind w:firstLine="643" w:firstLineChars="200"/>
        <w:jc w:val="both"/>
        <w:rPr>
          <w:rFonts w:ascii="Times New Roman" w:eastAsia="仿宋_GB2312"/>
          <w:sz w:val="32"/>
          <w:szCs w:val="32"/>
        </w:rPr>
      </w:pPr>
      <w:r>
        <w:rPr>
          <w:rFonts w:ascii="Times New Roman" w:eastAsia="仿宋_GB2312"/>
          <w:b/>
          <w:bCs/>
          <w:sz w:val="32"/>
          <w:szCs w:val="32"/>
        </w:rPr>
        <w:t xml:space="preserve">第六条  </w:t>
      </w:r>
      <w:r>
        <w:rPr>
          <w:rFonts w:ascii="Times New Roman" w:eastAsia="仿宋_GB2312"/>
          <w:sz w:val="32"/>
          <w:szCs w:val="32"/>
        </w:rPr>
        <w:t>评价由汉中市城市管理部门组织成立的评价小组（评价小组由城管、交通、公安交警部门组成）实施。</w:t>
      </w:r>
    </w:p>
    <w:p>
      <w:pPr>
        <w:pStyle w:val="46"/>
        <w:numPr>
          <w:ilvl w:val="0"/>
          <w:numId w:val="0"/>
        </w:numPr>
        <w:spacing w:before="156" w:after="156" w:line="560" w:lineRule="exact"/>
        <w:ind w:firstLine="643" w:firstLineChars="200"/>
        <w:jc w:val="both"/>
        <w:rPr>
          <w:rFonts w:ascii="Times New Roman" w:eastAsia="仿宋_GB2312"/>
          <w:sz w:val="32"/>
          <w:szCs w:val="32"/>
        </w:rPr>
      </w:pPr>
      <w:r>
        <w:rPr>
          <w:rFonts w:ascii="Times New Roman" w:eastAsia="仿宋_GB2312"/>
          <w:b/>
          <w:bCs/>
          <w:sz w:val="32"/>
          <w:szCs w:val="32"/>
        </w:rPr>
        <w:t xml:space="preserve">第七条  </w:t>
      </w:r>
      <w:r>
        <w:rPr>
          <w:rFonts w:ascii="Times New Roman" w:eastAsia="仿宋_GB2312"/>
          <w:sz w:val="32"/>
          <w:szCs w:val="32"/>
        </w:rPr>
        <w:t>互联网租赁自行车企业服务质量评价等级分为优良、合格、基本合格和不合格四个等级。</w:t>
      </w:r>
    </w:p>
    <w:p>
      <w:pPr>
        <w:pStyle w:val="46"/>
        <w:numPr>
          <w:ilvl w:val="0"/>
          <w:numId w:val="0"/>
        </w:numPr>
        <w:spacing w:before="156" w:after="156" w:line="560" w:lineRule="exact"/>
        <w:ind w:firstLine="643" w:firstLineChars="200"/>
        <w:jc w:val="both"/>
        <w:rPr>
          <w:rFonts w:ascii="Times New Roman" w:eastAsia="仿宋_GB2312"/>
          <w:sz w:val="32"/>
          <w:szCs w:val="32"/>
        </w:rPr>
      </w:pPr>
      <w:r>
        <w:rPr>
          <w:rFonts w:ascii="Times New Roman" w:eastAsia="仿宋_GB2312"/>
          <w:b/>
          <w:bCs/>
          <w:sz w:val="32"/>
          <w:szCs w:val="32"/>
        </w:rPr>
        <w:t xml:space="preserve">第八条  </w:t>
      </w:r>
      <w:r>
        <w:rPr>
          <w:rFonts w:ascii="Times New Roman" w:eastAsia="仿宋_GB2312"/>
          <w:sz w:val="32"/>
          <w:szCs w:val="32"/>
        </w:rPr>
        <w:t>互联网租赁自行车企业服务质量评价指标包括：</w:t>
      </w:r>
    </w:p>
    <w:p>
      <w:pPr>
        <w:pStyle w:val="48"/>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（一）经营主体：经营条件、管理制度、人员管理、设施设备、投入车辆要求、信息化建设。</w:t>
      </w:r>
    </w:p>
    <w:p>
      <w:pPr>
        <w:pStyle w:val="48"/>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（二）服务管理：服务热线受理、公众投诉处理质量、用户保险、用户信息安全、应急情况处置。</w:t>
      </w:r>
    </w:p>
    <w:p>
      <w:pPr>
        <w:pStyle w:val="48"/>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（三）科技化监管：数据接入准确性、完整性、故障响应且解决及时性。</w:t>
      </w:r>
    </w:p>
    <w:p>
      <w:pPr>
        <w:pStyle w:val="48"/>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（四）停放秩序管理：停放秩序管理考核、对市区两级行业主管部门通知的问题点位及调度要求处理的及时性、有效性。</w:t>
      </w:r>
    </w:p>
    <w:p>
      <w:pPr>
        <w:pStyle w:val="48"/>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（五）用户满意度、客户体验等方面。</w:t>
      </w:r>
    </w:p>
    <w:p>
      <w:pPr>
        <w:pStyle w:val="48"/>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（六）加分项目包括政府部门表彰、社会公益活动、科技创新等方面。</w:t>
      </w:r>
    </w:p>
    <w:p>
      <w:pPr>
        <w:pStyle w:val="46"/>
        <w:numPr>
          <w:ilvl w:val="0"/>
          <w:numId w:val="0"/>
        </w:numPr>
        <w:spacing w:before="156" w:after="156" w:line="560" w:lineRule="exact"/>
        <w:ind w:firstLine="640" w:firstLineChars="200"/>
        <w:jc w:val="both"/>
        <w:rPr>
          <w:rFonts w:ascii="Times New Roman" w:eastAsia="仿宋_GB2312"/>
          <w:color w:val="000000"/>
          <w:sz w:val="32"/>
          <w:szCs w:val="32"/>
        </w:rPr>
      </w:pPr>
      <w:r>
        <w:rPr>
          <w:rFonts w:ascii="Times New Roman" w:eastAsia="仿宋_GB2312"/>
          <w:color w:val="000000"/>
          <w:sz w:val="32"/>
          <w:szCs w:val="32"/>
        </w:rPr>
        <w:t>各评价指标的具体考评标准详见《汉中市互联网租赁自行车服务质量评价标准及评分细则》（附件），市城管部门有权调整本评价标准及评分细则。</w:t>
      </w:r>
    </w:p>
    <w:p>
      <w:pPr>
        <w:pStyle w:val="46"/>
        <w:numPr>
          <w:ilvl w:val="0"/>
          <w:numId w:val="0"/>
        </w:numPr>
        <w:spacing w:before="156" w:after="156" w:line="560" w:lineRule="exact"/>
        <w:ind w:firstLine="643" w:firstLineChars="200"/>
        <w:jc w:val="both"/>
        <w:rPr>
          <w:rFonts w:ascii="Times New Roman" w:eastAsia="仿宋_GB2312"/>
          <w:sz w:val="32"/>
          <w:szCs w:val="32"/>
        </w:rPr>
      </w:pPr>
      <w:r>
        <w:rPr>
          <w:rFonts w:ascii="Times New Roman" w:eastAsia="仿宋_GB2312"/>
          <w:b/>
          <w:bCs/>
          <w:color w:val="000000"/>
          <w:sz w:val="32"/>
          <w:szCs w:val="32"/>
        </w:rPr>
        <w:t xml:space="preserve">第九条  </w:t>
      </w:r>
      <w:r>
        <w:rPr>
          <w:rFonts w:ascii="Times New Roman" w:eastAsia="仿宋_GB2312"/>
          <w:color w:val="000000"/>
          <w:sz w:val="32"/>
          <w:szCs w:val="32"/>
        </w:rPr>
        <w:t>互联网租赁自行车运营服务质量评价</w:t>
      </w:r>
      <w:r>
        <w:rPr>
          <w:rFonts w:ascii="Times New Roman" w:eastAsia="仿宋_GB2312"/>
          <w:sz w:val="32"/>
          <w:szCs w:val="32"/>
        </w:rPr>
        <w:t>实行基准分值为100分的计分制，另外加分分值为15分。</w:t>
      </w:r>
    </w:p>
    <w:p>
      <w:pPr>
        <w:pStyle w:val="46"/>
        <w:numPr>
          <w:ilvl w:val="0"/>
          <w:numId w:val="0"/>
        </w:numPr>
        <w:spacing w:before="156" w:after="156" w:line="560" w:lineRule="exact"/>
        <w:ind w:firstLine="643" w:firstLineChars="200"/>
        <w:jc w:val="both"/>
        <w:rPr>
          <w:rFonts w:ascii="Times New Roman" w:eastAsia="仿宋_GB2312"/>
          <w:sz w:val="32"/>
          <w:szCs w:val="32"/>
        </w:rPr>
      </w:pPr>
      <w:r>
        <w:rPr>
          <w:rFonts w:ascii="Times New Roman" w:eastAsia="仿宋_GB2312"/>
          <w:b/>
          <w:bCs/>
          <w:sz w:val="32"/>
          <w:szCs w:val="32"/>
        </w:rPr>
        <w:t xml:space="preserve">第十条  </w:t>
      </w:r>
      <w:r>
        <w:rPr>
          <w:rFonts w:ascii="Times New Roman" w:eastAsia="仿宋_GB2312"/>
          <w:sz w:val="32"/>
          <w:szCs w:val="32"/>
        </w:rPr>
        <w:t>互联网租赁自行车运营企业服务质量等级按照下列标准进行评定：</w:t>
      </w:r>
    </w:p>
    <w:p>
      <w:pPr>
        <w:pStyle w:val="48"/>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（一）考评周期内综合得分在85分以上，考核等级为优良；</w:t>
      </w:r>
    </w:p>
    <w:p>
      <w:pPr>
        <w:pStyle w:val="48"/>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（二）考评周期内综合得分在70分至84分之间的,考核等级为合格；</w:t>
      </w:r>
    </w:p>
    <w:p>
      <w:pPr>
        <w:pStyle w:val="48"/>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（三）考评周期内综合得分在60分至69分之间的,考核等级为基本合格；</w:t>
      </w:r>
    </w:p>
    <w:p>
      <w:pPr>
        <w:pStyle w:val="48"/>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（四）考评周期内有下列情形之一的，考核等级为不合格：</w:t>
      </w:r>
    </w:p>
    <w:p>
      <w:pPr>
        <w:spacing w:line="560" w:lineRule="exact"/>
        <w:ind w:firstLine="640" w:firstLineChars="200"/>
        <w:rPr>
          <w:rFonts w:eastAsia="仿宋_GB2312"/>
          <w:kern w:val="0"/>
          <w:sz w:val="32"/>
          <w:szCs w:val="32"/>
        </w:rPr>
      </w:pPr>
      <w:r>
        <w:rPr>
          <w:rFonts w:eastAsia="仿宋_GB2312"/>
          <w:kern w:val="0"/>
          <w:sz w:val="32"/>
          <w:szCs w:val="32"/>
        </w:rPr>
        <w:t>1、综合得分在60分以下的；</w:t>
      </w:r>
    </w:p>
    <w:p>
      <w:pPr>
        <w:spacing w:line="560" w:lineRule="exact"/>
        <w:ind w:firstLine="640" w:firstLineChars="200"/>
        <w:rPr>
          <w:rFonts w:eastAsia="仿宋_GB2312"/>
          <w:kern w:val="0"/>
          <w:sz w:val="32"/>
          <w:szCs w:val="32"/>
        </w:rPr>
      </w:pPr>
      <w:r>
        <w:rPr>
          <w:rFonts w:eastAsia="仿宋_GB2312"/>
          <w:kern w:val="0"/>
          <w:sz w:val="32"/>
          <w:szCs w:val="32"/>
        </w:rPr>
        <w:t>2、未按要求及时足额缴纳城市道路占用费的；</w:t>
      </w:r>
    </w:p>
    <w:p>
      <w:pPr>
        <w:spacing w:line="560" w:lineRule="exact"/>
        <w:ind w:firstLine="640" w:firstLineChars="200"/>
        <w:rPr>
          <w:rFonts w:eastAsia="仿宋_GB2312"/>
          <w:kern w:val="0"/>
          <w:sz w:val="32"/>
          <w:szCs w:val="32"/>
        </w:rPr>
      </w:pPr>
      <w:r>
        <w:rPr>
          <w:rFonts w:eastAsia="仿宋_GB2312"/>
          <w:kern w:val="0"/>
          <w:sz w:val="32"/>
          <w:szCs w:val="32"/>
        </w:rPr>
        <w:t>3、由于企业运营管理原因，引发群体性事件或造成恶劣社会影响的；</w:t>
      </w:r>
    </w:p>
    <w:p>
      <w:pPr>
        <w:spacing w:line="560" w:lineRule="exact"/>
        <w:ind w:firstLine="640" w:firstLineChars="200"/>
        <w:rPr>
          <w:rFonts w:eastAsia="仿宋_GB2312"/>
          <w:kern w:val="0"/>
          <w:sz w:val="32"/>
          <w:szCs w:val="32"/>
        </w:rPr>
      </w:pPr>
      <w:r>
        <w:rPr>
          <w:rFonts w:eastAsia="仿宋_GB2312"/>
          <w:kern w:val="0"/>
          <w:sz w:val="32"/>
          <w:szCs w:val="32"/>
        </w:rPr>
        <w:t>4、不参加服务质量考核工作的；</w:t>
      </w:r>
    </w:p>
    <w:p>
      <w:pPr>
        <w:spacing w:line="560" w:lineRule="exact"/>
        <w:ind w:firstLine="640" w:firstLineChars="200"/>
        <w:rPr>
          <w:rFonts w:eastAsia="仿宋_GB2312"/>
          <w:kern w:val="0"/>
          <w:sz w:val="32"/>
          <w:szCs w:val="32"/>
        </w:rPr>
      </w:pPr>
      <w:r>
        <w:rPr>
          <w:rFonts w:eastAsia="仿宋_GB2312"/>
          <w:kern w:val="0"/>
          <w:sz w:val="32"/>
          <w:szCs w:val="32"/>
        </w:rPr>
        <w:t>5、不按规定将数据接入市城管部门要求的数字化监管平台的；</w:t>
      </w:r>
    </w:p>
    <w:p>
      <w:pPr>
        <w:spacing w:line="560" w:lineRule="exact"/>
        <w:ind w:firstLine="640" w:firstLineChars="200"/>
        <w:rPr>
          <w:rFonts w:eastAsia="仿宋_GB2312"/>
          <w:kern w:val="0"/>
          <w:sz w:val="32"/>
          <w:szCs w:val="32"/>
        </w:rPr>
      </w:pPr>
      <w:r>
        <w:rPr>
          <w:rFonts w:eastAsia="仿宋_GB2312"/>
          <w:kern w:val="0"/>
          <w:sz w:val="32"/>
          <w:szCs w:val="32"/>
        </w:rPr>
        <w:t>6、在考核过程中弄虚作假、隐瞒情况或提供虚假情况，情节严重的；</w:t>
      </w:r>
    </w:p>
    <w:p>
      <w:pPr>
        <w:spacing w:line="560" w:lineRule="exact"/>
        <w:ind w:firstLine="640" w:firstLineChars="200"/>
        <w:rPr>
          <w:rFonts w:eastAsia="仿宋_GB2312"/>
          <w:kern w:val="0"/>
          <w:sz w:val="32"/>
          <w:szCs w:val="32"/>
        </w:rPr>
      </w:pPr>
      <w:r>
        <w:rPr>
          <w:rFonts w:eastAsia="仿宋_GB2312"/>
          <w:kern w:val="0"/>
          <w:sz w:val="32"/>
          <w:szCs w:val="32"/>
        </w:rPr>
        <w:t>7、违反法律法规，组织、煽动、参与影响社会公共秩序，损害社会公共利益的群体性事件的；</w:t>
      </w:r>
    </w:p>
    <w:p>
      <w:pPr>
        <w:spacing w:line="560" w:lineRule="exact"/>
        <w:ind w:firstLine="640" w:firstLineChars="200"/>
        <w:rPr>
          <w:rFonts w:eastAsia="仿宋_GB2312"/>
          <w:kern w:val="0"/>
          <w:sz w:val="32"/>
          <w:szCs w:val="32"/>
        </w:rPr>
      </w:pPr>
      <w:r>
        <w:rPr>
          <w:rFonts w:eastAsia="仿宋_GB2312"/>
          <w:kern w:val="0"/>
          <w:sz w:val="32"/>
          <w:szCs w:val="32"/>
        </w:rPr>
        <w:t>8、未按要求执行政府及行业主管部门其他有关规定的。</w:t>
      </w:r>
    </w:p>
    <w:p>
      <w:pPr>
        <w:pStyle w:val="48"/>
        <w:spacing w:line="560" w:lineRule="exact"/>
        <w:ind w:firstLine="643"/>
        <w:rPr>
          <w:rFonts w:ascii="Times New Roman" w:hAnsi="Times New Roman" w:eastAsia="仿宋_GB2312"/>
          <w:color w:val="000000"/>
          <w:kern w:val="0"/>
          <w:sz w:val="32"/>
          <w:szCs w:val="32"/>
        </w:rPr>
      </w:pPr>
      <w:r>
        <w:rPr>
          <w:rFonts w:ascii="Times New Roman" w:hAnsi="Times New Roman" w:eastAsia="仿宋_GB2312"/>
          <w:b/>
          <w:bCs/>
          <w:kern w:val="0"/>
          <w:sz w:val="32"/>
          <w:szCs w:val="32"/>
        </w:rPr>
        <w:t xml:space="preserve">第十一条 </w:t>
      </w:r>
      <w:r>
        <w:rPr>
          <w:rFonts w:ascii="Times New Roman" w:hAnsi="Times New Roman" w:eastAsia="仿宋_GB2312"/>
          <w:b/>
          <w:bCs/>
          <w:color w:val="000000"/>
          <w:kern w:val="0"/>
          <w:sz w:val="32"/>
          <w:szCs w:val="32"/>
        </w:rPr>
        <w:t xml:space="preserve"> </w:t>
      </w:r>
      <w:r>
        <w:rPr>
          <w:rFonts w:ascii="Times New Roman" w:hAnsi="Times New Roman" w:eastAsia="仿宋_GB2312"/>
          <w:color w:val="000000"/>
          <w:sz w:val="32"/>
          <w:szCs w:val="32"/>
        </w:rPr>
        <w:t>评价</w:t>
      </w:r>
      <w:r>
        <w:rPr>
          <w:rFonts w:ascii="Times New Roman" w:hAnsi="Times New Roman" w:eastAsia="仿宋_GB2312"/>
          <w:color w:val="000000"/>
          <w:kern w:val="0"/>
          <w:sz w:val="32"/>
          <w:szCs w:val="32"/>
        </w:rPr>
        <w:t>工作按以下程序实施：</w:t>
      </w:r>
    </w:p>
    <w:p>
      <w:pPr>
        <w:pStyle w:val="46"/>
        <w:numPr>
          <w:ilvl w:val="0"/>
          <w:numId w:val="0"/>
        </w:numPr>
        <w:spacing w:before="156" w:after="156" w:line="560" w:lineRule="exact"/>
        <w:ind w:firstLine="640" w:firstLineChars="200"/>
        <w:jc w:val="both"/>
        <w:rPr>
          <w:rFonts w:ascii="Times New Roman" w:eastAsia="仿宋_GB2312"/>
          <w:color w:val="000000"/>
          <w:sz w:val="32"/>
          <w:szCs w:val="32"/>
        </w:rPr>
      </w:pPr>
      <w:r>
        <w:rPr>
          <w:rFonts w:ascii="Times New Roman" w:eastAsia="仿宋_GB2312"/>
          <w:color w:val="000000"/>
          <w:sz w:val="32"/>
          <w:szCs w:val="32"/>
        </w:rPr>
        <w:t>（一）每年评价6次，自正式开始运营起，市城管部门每两个月对互联网租赁自行车运营企业的服务质量组织开展一次评价，评价后提交考核报告。</w:t>
      </w:r>
    </w:p>
    <w:p>
      <w:pPr>
        <w:spacing w:line="560" w:lineRule="exact"/>
        <w:ind w:firstLine="643" w:firstLineChars="200"/>
        <w:rPr>
          <w:rFonts w:eastAsia="仿宋_GB2312"/>
          <w:b/>
          <w:bCs/>
          <w:kern w:val="0"/>
          <w:sz w:val="32"/>
          <w:szCs w:val="32"/>
        </w:rPr>
      </w:pPr>
      <w:r>
        <w:rPr>
          <w:rFonts w:eastAsia="仿宋_GB2312"/>
          <w:b/>
          <w:bCs/>
          <w:color w:val="000000"/>
          <w:sz w:val="32"/>
          <w:szCs w:val="32"/>
        </w:rPr>
        <w:t>评价</w:t>
      </w:r>
      <w:r>
        <w:rPr>
          <w:rFonts w:eastAsia="仿宋_GB2312"/>
          <w:b/>
          <w:bCs/>
          <w:kern w:val="0"/>
          <w:sz w:val="32"/>
          <w:szCs w:val="32"/>
        </w:rPr>
        <w:t>内容包括下列内容：</w:t>
      </w:r>
    </w:p>
    <w:p>
      <w:pPr>
        <w:spacing w:line="560" w:lineRule="exact"/>
        <w:ind w:firstLine="640" w:firstLineChars="200"/>
        <w:rPr>
          <w:rFonts w:eastAsia="仿宋_GB2312"/>
          <w:kern w:val="0"/>
          <w:sz w:val="32"/>
          <w:szCs w:val="32"/>
        </w:rPr>
      </w:pPr>
      <w:r>
        <w:rPr>
          <w:rFonts w:eastAsia="仿宋_GB2312"/>
          <w:kern w:val="0"/>
          <w:sz w:val="32"/>
          <w:szCs w:val="32"/>
        </w:rPr>
        <w:t>1.经营条件包括工商营业执照、固定办公场所证明等情况。</w:t>
      </w:r>
    </w:p>
    <w:p>
      <w:pPr>
        <w:spacing w:line="560" w:lineRule="exact"/>
        <w:ind w:firstLine="640" w:firstLineChars="200"/>
        <w:rPr>
          <w:rFonts w:eastAsia="仿宋_GB2312"/>
          <w:kern w:val="0"/>
          <w:sz w:val="32"/>
          <w:szCs w:val="32"/>
        </w:rPr>
      </w:pPr>
      <w:r>
        <w:rPr>
          <w:rFonts w:eastAsia="仿宋_GB2312"/>
          <w:kern w:val="0"/>
          <w:sz w:val="32"/>
          <w:szCs w:val="32"/>
        </w:rPr>
        <w:t>2.建立安全措施与紧急情况处置制度、管理和运维人员管理考评制度、服务质量保障制度、车辆运行维护制度、车辆停放秩序管理制度、日常工作及重大事件的影像存档制度、用户信用评价制度、内部财务管理制度、网络及信息安全管理制度、故障车辆回收管理制度、服务纠纷及投诉处理制度等情况。</w:t>
      </w:r>
    </w:p>
    <w:p>
      <w:pPr>
        <w:spacing w:line="560" w:lineRule="exact"/>
        <w:ind w:firstLine="640" w:firstLineChars="200"/>
        <w:rPr>
          <w:rFonts w:eastAsia="仿宋_GB2312"/>
          <w:kern w:val="0"/>
          <w:sz w:val="32"/>
          <w:szCs w:val="32"/>
        </w:rPr>
      </w:pPr>
      <w:r>
        <w:rPr>
          <w:rFonts w:eastAsia="仿宋_GB2312"/>
          <w:kern w:val="0"/>
          <w:sz w:val="32"/>
          <w:szCs w:val="32"/>
        </w:rPr>
        <w:t>3.人员管理包括运营管理、人力资源、财务、信息系统维护、车辆调运、日常检查、维修保养、安全管理、服务热线及服务质量投诉受理等岗位设置及人员管理考核情况。（人员名单、劳动合同或者劳务派遣合同、社保证明等）</w:t>
      </w:r>
    </w:p>
    <w:p>
      <w:pPr>
        <w:spacing w:line="560" w:lineRule="exact"/>
        <w:ind w:firstLine="640" w:firstLineChars="200"/>
        <w:rPr>
          <w:rFonts w:eastAsia="仿宋_GB2312"/>
          <w:kern w:val="0"/>
          <w:sz w:val="32"/>
          <w:szCs w:val="32"/>
        </w:rPr>
      </w:pPr>
      <w:r>
        <w:rPr>
          <w:rFonts w:eastAsia="仿宋_GB2312"/>
          <w:kern w:val="0"/>
          <w:sz w:val="32"/>
          <w:szCs w:val="32"/>
        </w:rPr>
        <w:t>4.设施设备包括线下专用调运车辆等情况。</w:t>
      </w:r>
    </w:p>
    <w:p>
      <w:pPr>
        <w:spacing w:line="560" w:lineRule="exact"/>
        <w:ind w:firstLine="640" w:firstLineChars="200"/>
        <w:rPr>
          <w:rFonts w:eastAsia="仿宋_GB2312"/>
          <w:kern w:val="0"/>
          <w:sz w:val="32"/>
          <w:szCs w:val="32"/>
        </w:rPr>
      </w:pPr>
      <w:r>
        <w:rPr>
          <w:rFonts w:eastAsia="仿宋_GB2312"/>
          <w:kern w:val="0"/>
          <w:sz w:val="32"/>
          <w:szCs w:val="32"/>
        </w:rPr>
        <w:t>5.投入车辆要求，包括符合相关技术规范要求等情况。</w:t>
      </w:r>
    </w:p>
    <w:p>
      <w:pPr>
        <w:spacing w:line="560" w:lineRule="exact"/>
        <w:ind w:firstLine="640" w:firstLineChars="200"/>
        <w:rPr>
          <w:rFonts w:eastAsia="仿宋_GB2312"/>
          <w:kern w:val="0"/>
          <w:sz w:val="32"/>
          <w:szCs w:val="32"/>
        </w:rPr>
      </w:pPr>
      <w:r>
        <w:rPr>
          <w:rFonts w:eastAsia="仿宋_GB2312"/>
          <w:kern w:val="0"/>
          <w:sz w:val="32"/>
          <w:szCs w:val="32"/>
        </w:rPr>
        <w:t>6.信息化建设包括企业搭建的互联网租赁自行车信息平台。</w:t>
      </w:r>
    </w:p>
    <w:p>
      <w:pPr>
        <w:spacing w:line="560" w:lineRule="exact"/>
        <w:ind w:firstLine="640" w:firstLineChars="200"/>
        <w:rPr>
          <w:rFonts w:eastAsia="仿宋_GB2312"/>
          <w:kern w:val="0"/>
          <w:sz w:val="32"/>
          <w:szCs w:val="32"/>
        </w:rPr>
      </w:pPr>
      <w:r>
        <w:rPr>
          <w:rFonts w:eastAsia="仿宋_GB2312"/>
          <w:kern w:val="0"/>
          <w:sz w:val="32"/>
          <w:szCs w:val="32"/>
        </w:rPr>
        <w:t>7.服务热线受理情况。</w:t>
      </w:r>
    </w:p>
    <w:p>
      <w:pPr>
        <w:spacing w:line="560" w:lineRule="exact"/>
        <w:ind w:firstLine="640" w:firstLineChars="200"/>
        <w:rPr>
          <w:rFonts w:eastAsia="仿宋_GB2312"/>
          <w:kern w:val="0"/>
          <w:sz w:val="32"/>
          <w:szCs w:val="32"/>
        </w:rPr>
      </w:pPr>
      <w:r>
        <w:rPr>
          <w:rFonts w:eastAsia="仿宋_GB2312"/>
          <w:kern w:val="0"/>
          <w:sz w:val="32"/>
          <w:szCs w:val="32"/>
        </w:rPr>
        <w:t>8.公众投诉处理包括投诉处理台账、投诉受理、处理记录、回复等情况。</w:t>
      </w:r>
    </w:p>
    <w:p>
      <w:pPr>
        <w:spacing w:line="560" w:lineRule="exact"/>
        <w:ind w:firstLine="640" w:firstLineChars="200"/>
        <w:rPr>
          <w:rFonts w:eastAsia="仿宋_GB2312"/>
          <w:kern w:val="0"/>
          <w:sz w:val="32"/>
          <w:szCs w:val="32"/>
        </w:rPr>
      </w:pPr>
      <w:r>
        <w:rPr>
          <w:rFonts w:eastAsia="仿宋_GB2312"/>
          <w:kern w:val="0"/>
          <w:sz w:val="32"/>
          <w:szCs w:val="32"/>
        </w:rPr>
        <w:t>9.用户保险包括为用户购买人身意外伤害保险（出具相关证明）等情况。</w:t>
      </w:r>
    </w:p>
    <w:p>
      <w:pPr>
        <w:spacing w:line="560" w:lineRule="exact"/>
        <w:ind w:firstLine="640" w:firstLineChars="200"/>
        <w:rPr>
          <w:rFonts w:eastAsia="仿宋_GB2312"/>
          <w:kern w:val="0"/>
          <w:sz w:val="32"/>
          <w:szCs w:val="32"/>
        </w:rPr>
      </w:pPr>
      <w:r>
        <w:rPr>
          <w:rFonts w:eastAsia="仿宋_GB2312"/>
          <w:kern w:val="0"/>
          <w:sz w:val="32"/>
          <w:szCs w:val="32"/>
        </w:rPr>
        <w:t>10.用户信息安全包括用户信息安全保障措施等情况。</w:t>
      </w:r>
    </w:p>
    <w:p>
      <w:pPr>
        <w:spacing w:line="560" w:lineRule="exact"/>
        <w:ind w:firstLine="640" w:firstLineChars="200"/>
        <w:rPr>
          <w:rFonts w:eastAsia="仿宋_GB2312"/>
          <w:kern w:val="0"/>
          <w:sz w:val="32"/>
          <w:szCs w:val="32"/>
        </w:rPr>
      </w:pPr>
      <w:r>
        <w:rPr>
          <w:rFonts w:eastAsia="仿宋_GB2312"/>
          <w:kern w:val="0"/>
          <w:sz w:val="32"/>
          <w:szCs w:val="32"/>
        </w:rPr>
        <w:t>11.维护管理包括积极应用相关技术措施等情况。</w:t>
      </w:r>
    </w:p>
    <w:p>
      <w:pPr>
        <w:spacing w:line="560" w:lineRule="exact"/>
        <w:ind w:firstLine="640" w:firstLineChars="200"/>
        <w:rPr>
          <w:rFonts w:eastAsia="仿宋_GB2312"/>
          <w:kern w:val="0"/>
          <w:sz w:val="32"/>
          <w:szCs w:val="32"/>
        </w:rPr>
      </w:pPr>
      <w:r>
        <w:rPr>
          <w:rFonts w:eastAsia="仿宋_GB2312"/>
          <w:kern w:val="0"/>
          <w:sz w:val="32"/>
          <w:szCs w:val="32"/>
        </w:rPr>
        <w:t>12.应急情况处置包括应对极端气候、重大社会活动及其他可能危及安全情况的应急预案，并做好相关资源和技术的组织准备等情况。</w:t>
      </w:r>
    </w:p>
    <w:p>
      <w:pPr>
        <w:spacing w:line="560" w:lineRule="exact"/>
        <w:ind w:firstLine="640" w:firstLineChars="200"/>
        <w:rPr>
          <w:rFonts w:eastAsia="仿宋_GB2312"/>
          <w:kern w:val="0"/>
          <w:sz w:val="32"/>
          <w:szCs w:val="32"/>
        </w:rPr>
      </w:pPr>
      <w:r>
        <w:rPr>
          <w:rFonts w:eastAsia="仿宋_GB2312"/>
          <w:kern w:val="0"/>
          <w:sz w:val="32"/>
          <w:szCs w:val="32"/>
        </w:rPr>
        <w:t>13.加分项目包括获得政府部门表彰、社会公益活动、科技创新等情况。</w:t>
      </w:r>
    </w:p>
    <w:p>
      <w:pPr>
        <w:pStyle w:val="48"/>
        <w:spacing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（二）最终考核结果以所有考核组成员打分的平均分为经营企业得分。</w:t>
      </w:r>
    </w:p>
    <w:p>
      <w:pPr>
        <w:pStyle w:val="46"/>
        <w:numPr>
          <w:ilvl w:val="0"/>
          <w:numId w:val="0"/>
        </w:numPr>
        <w:spacing w:before="156" w:after="156" w:line="560" w:lineRule="exact"/>
        <w:ind w:firstLine="643" w:firstLineChars="200"/>
        <w:jc w:val="both"/>
        <w:rPr>
          <w:rFonts w:ascii="Times New Roman" w:eastAsia="仿宋_GB2312"/>
          <w:color w:val="000000"/>
          <w:sz w:val="32"/>
          <w:szCs w:val="32"/>
        </w:rPr>
      </w:pPr>
      <w:r>
        <w:rPr>
          <w:rFonts w:ascii="Times New Roman" w:eastAsia="仿宋_GB2312"/>
          <w:b/>
          <w:bCs/>
          <w:sz w:val="32"/>
          <w:szCs w:val="32"/>
        </w:rPr>
        <w:t xml:space="preserve">第十二条 </w:t>
      </w:r>
      <w:r>
        <w:rPr>
          <w:rFonts w:ascii="Times New Roman" w:eastAsia="仿宋_GB2312"/>
          <w:b/>
          <w:bCs/>
          <w:color w:val="000000"/>
          <w:sz w:val="32"/>
          <w:szCs w:val="32"/>
        </w:rPr>
        <w:t xml:space="preserve"> </w:t>
      </w:r>
      <w:r>
        <w:rPr>
          <w:rFonts w:ascii="Times New Roman" w:eastAsia="仿宋_GB2312"/>
          <w:color w:val="000000"/>
          <w:sz w:val="32"/>
          <w:szCs w:val="32"/>
        </w:rPr>
        <w:t>评价结果应在每次完成考核后3日内书面通知被考核企业。对评价结果有异议的企业，可在收到考核结果通知的3日内向市城管部门提出书面申诉。</w:t>
      </w:r>
    </w:p>
    <w:p>
      <w:pPr>
        <w:pStyle w:val="46"/>
        <w:numPr>
          <w:ilvl w:val="0"/>
          <w:numId w:val="0"/>
        </w:numPr>
        <w:spacing w:before="156" w:after="156" w:line="560" w:lineRule="exact"/>
        <w:ind w:firstLine="640" w:firstLineChars="200"/>
        <w:jc w:val="both"/>
        <w:rPr>
          <w:rFonts w:ascii="Times New Roman" w:eastAsia="仿宋_GB2312"/>
          <w:color w:val="000000"/>
          <w:sz w:val="32"/>
          <w:szCs w:val="32"/>
        </w:rPr>
      </w:pPr>
      <w:r>
        <w:rPr>
          <w:rFonts w:ascii="Times New Roman" w:eastAsia="仿宋_GB2312"/>
          <w:color w:val="000000"/>
          <w:sz w:val="32"/>
          <w:szCs w:val="32"/>
        </w:rPr>
        <w:t>市城管部门依据各项指标的最终结果对互联网租赁自行车运营企业服务质量考核等级进行认定，并在相关网站上进行为期5天的公示。公示结束后，最终结果由市城管部门向社会通报并发布。</w:t>
      </w:r>
    </w:p>
    <w:p>
      <w:pPr>
        <w:pStyle w:val="46"/>
        <w:numPr>
          <w:ilvl w:val="0"/>
          <w:numId w:val="0"/>
        </w:numPr>
        <w:spacing w:before="156" w:after="156" w:line="560" w:lineRule="exact"/>
        <w:ind w:firstLine="643" w:firstLineChars="200"/>
        <w:jc w:val="both"/>
        <w:rPr>
          <w:rFonts w:ascii="Times New Roman" w:eastAsia="仿宋_GB2312"/>
          <w:color w:val="000000"/>
          <w:sz w:val="32"/>
          <w:szCs w:val="32"/>
        </w:rPr>
      </w:pPr>
      <w:r>
        <w:rPr>
          <w:rFonts w:ascii="Times New Roman" w:eastAsia="仿宋_GB2312"/>
          <w:b/>
          <w:bCs/>
          <w:color w:val="000000"/>
          <w:sz w:val="32"/>
          <w:szCs w:val="32"/>
        </w:rPr>
        <w:t xml:space="preserve">第十三条  </w:t>
      </w:r>
      <w:r>
        <w:rPr>
          <w:rFonts w:ascii="Times New Roman" w:eastAsia="仿宋_GB2312"/>
          <w:color w:val="000000"/>
          <w:sz w:val="32"/>
          <w:szCs w:val="32"/>
        </w:rPr>
        <w:t>互联网租赁自行车服务质量考核结果作为奖惩运营企业的重要依据，并按下列规定执行：</w:t>
      </w:r>
    </w:p>
    <w:p>
      <w:pPr>
        <w:pStyle w:val="46"/>
        <w:numPr>
          <w:ilvl w:val="0"/>
          <w:numId w:val="0"/>
        </w:numPr>
        <w:spacing w:before="156" w:after="156" w:line="560" w:lineRule="exact"/>
        <w:ind w:firstLine="640" w:firstLineChars="200"/>
        <w:jc w:val="both"/>
        <w:rPr>
          <w:rFonts w:ascii="Times New Roman" w:eastAsia="仿宋_GB2312"/>
          <w:color w:val="000000"/>
          <w:sz w:val="32"/>
          <w:szCs w:val="32"/>
        </w:rPr>
      </w:pPr>
      <w:r>
        <w:rPr>
          <w:rFonts w:ascii="Times New Roman" w:eastAsia="仿宋_GB2312"/>
          <w:color w:val="000000"/>
          <w:sz w:val="32"/>
          <w:szCs w:val="32"/>
        </w:rPr>
        <w:t>（一）对服务质量考核等级被评为不合格的运营企业，运用信用记录，视情况每次调减10%的总配额，行业主管部门对企业约谈，督促其加强管理，限期整改存在的问题；</w:t>
      </w:r>
    </w:p>
    <w:p>
      <w:pPr>
        <w:pStyle w:val="46"/>
        <w:numPr>
          <w:ilvl w:val="0"/>
          <w:numId w:val="0"/>
        </w:numPr>
        <w:spacing w:before="156" w:after="156" w:line="560" w:lineRule="exact"/>
        <w:ind w:firstLine="640" w:firstLineChars="200"/>
        <w:jc w:val="both"/>
        <w:rPr>
          <w:rFonts w:ascii="Times New Roman" w:eastAsia="仿宋_GB2312"/>
          <w:color w:val="000000"/>
          <w:sz w:val="32"/>
          <w:szCs w:val="32"/>
        </w:rPr>
      </w:pPr>
      <w:r>
        <w:rPr>
          <w:rFonts w:ascii="Times New Roman" w:eastAsia="仿宋_GB2312"/>
          <w:color w:val="000000"/>
          <w:sz w:val="32"/>
          <w:szCs w:val="32"/>
        </w:rPr>
        <w:t>（二）对服务质量评价等级被评为基本合格的运营企业，运用信用记录，视情况每次调减5%的总配额，行业主管部门对企业约谈，督促其加强管理，限期整改存在的问题；</w:t>
      </w:r>
    </w:p>
    <w:p>
      <w:pPr>
        <w:pStyle w:val="46"/>
        <w:numPr>
          <w:ilvl w:val="0"/>
          <w:numId w:val="0"/>
        </w:numPr>
        <w:spacing w:before="156" w:after="156" w:line="560" w:lineRule="exact"/>
        <w:ind w:firstLine="640" w:firstLineChars="200"/>
        <w:jc w:val="both"/>
        <w:rPr>
          <w:rFonts w:ascii="Times New Roman" w:eastAsia="仿宋_GB2312"/>
          <w:color w:val="000000"/>
          <w:sz w:val="32"/>
          <w:szCs w:val="32"/>
        </w:rPr>
      </w:pPr>
      <w:r>
        <w:rPr>
          <w:rFonts w:ascii="Times New Roman" w:eastAsia="仿宋_GB2312"/>
          <w:color w:val="000000"/>
          <w:sz w:val="32"/>
          <w:szCs w:val="32"/>
        </w:rPr>
        <w:t>（三）对服务质量评价等级被评为合格的运营企业，不作奖惩；</w:t>
      </w:r>
    </w:p>
    <w:p>
      <w:pPr>
        <w:pStyle w:val="46"/>
        <w:numPr>
          <w:ilvl w:val="0"/>
          <w:numId w:val="0"/>
        </w:numPr>
        <w:spacing w:before="156" w:after="156" w:line="560" w:lineRule="exact"/>
        <w:ind w:firstLine="640" w:firstLineChars="200"/>
        <w:jc w:val="both"/>
        <w:rPr>
          <w:rFonts w:ascii="Times New Roman" w:eastAsia="仿宋_GB2312"/>
          <w:color w:val="000000"/>
          <w:sz w:val="32"/>
          <w:szCs w:val="32"/>
        </w:rPr>
      </w:pPr>
      <w:r>
        <w:rPr>
          <w:rFonts w:ascii="Times New Roman" w:eastAsia="仿宋_GB2312"/>
          <w:color w:val="000000"/>
          <w:sz w:val="32"/>
          <w:szCs w:val="32"/>
        </w:rPr>
        <w:t>（四）对服务质量评价等级被评为优良的运营企业，优先增加其他运营企业被核减的车辆投放配额，每次考核核减车辆数量在考核获得优良的企业中平均分配，并给予表彰。</w:t>
      </w:r>
    </w:p>
    <w:p>
      <w:pPr>
        <w:pStyle w:val="46"/>
        <w:numPr>
          <w:ilvl w:val="0"/>
          <w:numId w:val="0"/>
        </w:numPr>
        <w:spacing w:before="156" w:after="156" w:line="560" w:lineRule="exact"/>
        <w:ind w:firstLine="640" w:firstLineChars="200"/>
        <w:jc w:val="both"/>
        <w:rPr>
          <w:rFonts w:ascii="Times New Roman" w:eastAsia="仿宋_GB2312"/>
          <w:color w:val="000000"/>
          <w:sz w:val="32"/>
          <w:szCs w:val="32"/>
        </w:rPr>
      </w:pPr>
      <w:r>
        <w:rPr>
          <w:rFonts w:ascii="Times New Roman" w:eastAsia="仿宋_GB2312"/>
          <w:color w:val="000000"/>
          <w:sz w:val="32"/>
          <w:szCs w:val="32"/>
        </w:rPr>
        <w:t>（五）试运营不合格的予以直接清退。</w:t>
      </w:r>
    </w:p>
    <w:p>
      <w:pPr>
        <w:pStyle w:val="46"/>
        <w:numPr>
          <w:ilvl w:val="0"/>
          <w:numId w:val="0"/>
        </w:numPr>
        <w:spacing w:before="156" w:after="156" w:line="560" w:lineRule="exact"/>
        <w:ind w:firstLine="643" w:firstLineChars="200"/>
        <w:jc w:val="both"/>
        <w:rPr>
          <w:rFonts w:ascii="Times New Roman" w:eastAsia="仿宋_GB2312"/>
          <w:sz w:val="32"/>
          <w:szCs w:val="32"/>
        </w:rPr>
      </w:pPr>
      <w:r>
        <w:rPr>
          <w:rFonts w:ascii="Times New Roman" w:eastAsia="仿宋_GB2312"/>
          <w:b/>
          <w:bCs/>
          <w:color w:val="000000"/>
          <w:sz w:val="32"/>
          <w:szCs w:val="32"/>
        </w:rPr>
        <w:t xml:space="preserve">第十四条  </w:t>
      </w:r>
      <w:r>
        <w:rPr>
          <w:rFonts w:ascii="Times New Roman" w:eastAsia="仿宋_GB2312"/>
          <w:color w:val="000000"/>
          <w:sz w:val="32"/>
          <w:szCs w:val="32"/>
        </w:rPr>
        <w:t>市城管部门有权调整评价办法、评价标准及评</w:t>
      </w:r>
      <w:r>
        <w:rPr>
          <w:rFonts w:ascii="Times New Roman" w:eastAsia="仿宋_GB2312"/>
          <w:sz w:val="32"/>
          <w:szCs w:val="32"/>
        </w:rPr>
        <w:t>分细则。</w:t>
      </w:r>
    </w:p>
    <w:p>
      <w:pPr>
        <w:spacing w:line="700" w:lineRule="exact"/>
        <w:ind w:firstLine="643" w:firstLineChars="200"/>
        <w:outlineLvl w:val="1"/>
        <w:rPr>
          <w:rFonts w:eastAsia="仿宋_GB2312"/>
          <w:bCs/>
          <w:spacing w:val="6"/>
          <w:kern w:val="36"/>
          <w:sz w:val="32"/>
          <w:szCs w:val="32"/>
        </w:rPr>
      </w:pPr>
      <w:r>
        <w:rPr>
          <w:rFonts w:eastAsia="仿宋_GB2312"/>
          <w:b/>
          <w:bCs/>
          <w:sz w:val="32"/>
          <w:szCs w:val="32"/>
        </w:rPr>
        <w:t xml:space="preserve">第十五条  </w:t>
      </w:r>
      <w:r>
        <w:rPr>
          <w:rFonts w:eastAsia="仿宋_GB2312"/>
          <w:sz w:val="32"/>
          <w:szCs w:val="32"/>
        </w:rPr>
        <w:t>本办法由市城管部门负责解释和修改。</w:t>
      </w:r>
      <w:r>
        <w:rPr>
          <w:rFonts w:eastAsia="仿宋_GB2312"/>
          <w:sz w:val="32"/>
          <w:szCs w:val="32"/>
        </w:rPr>
        <w:tab/>
      </w:r>
    </w:p>
    <w:p>
      <w:pPr>
        <w:spacing w:line="700" w:lineRule="exact"/>
        <w:outlineLvl w:val="1"/>
        <w:rPr>
          <w:rFonts w:ascii="仿宋_GB2312" w:hAnsi="仿宋_GB2312" w:eastAsia="仿宋_GB2312" w:cs="仿宋_GB2312"/>
          <w:bCs/>
          <w:spacing w:val="6"/>
          <w:kern w:val="36"/>
          <w:sz w:val="32"/>
          <w:szCs w:val="32"/>
        </w:rPr>
      </w:pPr>
    </w:p>
    <w:p>
      <w:pPr>
        <w:spacing w:line="700" w:lineRule="exact"/>
        <w:outlineLvl w:val="1"/>
        <w:rPr>
          <w:rFonts w:eastAsia="仿宋_GB2312"/>
          <w:bCs/>
          <w:spacing w:val="6"/>
          <w:kern w:val="36"/>
          <w:sz w:val="32"/>
          <w:szCs w:val="32"/>
        </w:rPr>
      </w:pPr>
    </w:p>
    <w:p>
      <w:pPr>
        <w:spacing w:line="700" w:lineRule="exact"/>
        <w:outlineLvl w:val="1"/>
        <w:rPr>
          <w:rFonts w:eastAsia="仿宋_GB2312"/>
          <w:bCs/>
          <w:spacing w:val="6"/>
          <w:kern w:val="36"/>
          <w:sz w:val="32"/>
          <w:szCs w:val="32"/>
        </w:rPr>
      </w:pPr>
    </w:p>
    <w:p>
      <w:pPr>
        <w:spacing w:line="700" w:lineRule="exact"/>
        <w:outlineLvl w:val="1"/>
        <w:rPr>
          <w:rFonts w:eastAsia="仿宋_GB2312"/>
          <w:bCs/>
          <w:spacing w:val="6"/>
          <w:kern w:val="36"/>
          <w:sz w:val="32"/>
          <w:szCs w:val="32"/>
        </w:rPr>
      </w:pPr>
    </w:p>
    <w:p>
      <w:pPr>
        <w:spacing w:line="700" w:lineRule="exact"/>
        <w:outlineLvl w:val="1"/>
        <w:rPr>
          <w:rFonts w:eastAsia="仿宋_GB2312"/>
          <w:bCs/>
          <w:spacing w:val="6"/>
          <w:kern w:val="36"/>
          <w:sz w:val="32"/>
          <w:szCs w:val="32"/>
        </w:rPr>
      </w:pPr>
    </w:p>
    <w:p>
      <w:pPr>
        <w:spacing w:line="700" w:lineRule="exact"/>
        <w:outlineLvl w:val="1"/>
        <w:rPr>
          <w:rFonts w:eastAsia="仿宋_GB2312"/>
          <w:bCs/>
          <w:spacing w:val="6"/>
          <w:kern w:val="36"/>
          <w:sz w:val="32"/>
          <w:szCs w:val="32"/>
        </w:rPr>
      </w:pPr>
    </w:p>
    <w:p>
      <w:pPr>
        <w:spacing w:line="700" w:lineRule="exact"/>
        <w:outlineLvl w:val="1"/>
        <w:rPr>
          <w:rFonts w:eastAsia="仿宋_GB2312"/>
          <w:bCs/>
          <w:spacing w:val="6"/>
          <w:kern w:val="36"/>
          <w:sz w:val="32"/>
          <w:szCs w:val="32"/>
        </w:rPr>
      </w:pPr>
    </w:p>
    <w:p>
      <w:pPr>
        <w:spacing w:line="700" w:lineRule="exact"/>
        <w:outlineLvl w:val="1"/>
        <w:rPr>
          <w:rFonts w:eastAsia="仿宋_GB2312"/>
          <w:bCs/>
          <w:spacing w:val="6"/>
          <w:kern w:val="36"/>
          <w:sz w:val="32"/>
          <w:szCs w:val="32"/>
        </w:rPr>
      </w:pPr>
    </w:p>
    <w:p>
      <w:pPr>
        <w:spacing w:line="1000" w:lineRule="exact"/>
        <w:outlineLvl w:val="1"/>
        <w:rPr>
          <w:rFonts w:eastAsia="仿宋_GB2312"/>
          <w:bCs/>
          <w:spacing w:val="6"/>
          <w:kern w:val="36"/>
          <w:sz w:val="32"/>
          <w:szCs w:val="32"/>
        </w:rPr>
      </w:pPr>
    </w:p>
    <w:p>
      <w:pPr>
        <w:pStyle w:val="2"/>
        <w:rPr>
          <w:rFonts w:eastAsia="仿宋_GB2312"/>
          <w:bCs/>
          <w:spacing w:val="6"/>
          <w:kern w:val="36"/>
          <w:sz w:val="32"/>
          <w:szCs w:val="32"/>
        </w:rPr>
      </w:pPr>
    </w:p>
    <w:p/>
    <w:p>
      <w:pPr>
        <w:pStyle w:val="46"/>
        <w:numPr>
          <w:ilvl w:val="0"/>
          <w:numId w:val="0"/>
        </w:numPr>
        <w:tabs>
          <w:tab w:val="right" w:pos="8383"/>
        </w:tabs>
        <w:spacing w:before="156" w:after="156" w:line="560" w:lineRule="exact"/>
        <w:ind w:firstLine="640" w:firstLineChars="200"/>
        <w:jc w:val="both"/>
        <w:rPr>
          <w:rFonts w:ascii="仿宋_GB2312" w:hAnsi="仿宋_GB2312" w:eastAsia="仿宋_GB2312" w:cs="仿宋_GB2312"/>
          <w:sz w:val="32"/>
          <w:szCs w:val="32"/>
        </w:rPr>
        <w:sectPr>
          <w:footerReference r:id="rId4" w:type="first"/>
          <w:footerReference r:id="rId3" w:type="default"/>
          <w:pgSz w:w="11906" w:h="16838"/>
          <w:pgMar w:top="2098" w:right="1278" w:bottom="1720" w:left="1588" w:header="851" w:footer="992" w:gutter="0"/>
          <w:cols w:space="720" w:num="1"/>
          <w:titlePg/>
          <w:docGrid w:type="lines" w:linePitch="312" w:charSpace="0"/>
        </w:sectPr>
      </w:pPr>
    </w:p>
    <w:p>
      <w:pPr>
        <w:widowControl/>
        <w:spacing w:line="560" w:lineRule="atLeast"/>
        <w:outlineLvl w:val="0"/>
        <w:rPr>
          <w:rFonts w:ascii="黑体" w:hAnsi="黑体" w:eastAsia="黑体" w:cs="黑体"/>
          <w:sz w:val="32"/>
          <w:szCs w:val="32"/>
        </w:rPr>
      </w:pPr>
      <w:bookmarkStart w:id="1" w:name="_Toc16921"/>
      <w:bookmarkStart w:id="2" w:name="_Toc579"/>
      <w:r>
        <w:rPr>
          <w:rFonts w:hint="eastAsia" w:ascii="黑体" w:hAnsi="黑体" w:eastAsia="黑体" w:cs="黑体"/>
          <w:sz w:val="32"/>
          <w:szCs w:val="32"/>
        </w:rPr>
        <w:t>附件2:</w:t>
      </w:r>
      <w:bookmarkEnd w:id="1"/>
      <w:bookmarkEnd w:id="2"/>
      <w:bookmarkStart w:id="3" w:name="_Toc27181"/>
      <w:bookmarkStart w:id="4" w:name="_Toc20426"/>
    </w:p>
    <w:p>
      <w:pPr>
        <w:widowControl/>
        <w:spacing w:line="560" w:lineRule="atLeast"/>
        <w:jc w:val="center"/>
        <w:outlineLvl w:val="0"/>
        <w:rPr>
          <w:rFonts w:ascii="仿宋" w:hAnsi="仿宋" w:eastAsia="仿宋" w:cs="仿宋"/>
          <w:sz w:val="32"/>
          <w:szCs w:val="32"/>
        </w:rPr>
      </w:pPr>
      <w:r>
        <w:rPr>
          <w:rFonts w:hint="eastAsia" w:ascii="方正小标宋简体" w:hAnsi="方正小标宋简体" w:eastAsia="方正小标宋简体" w:cs="方正小标宋简体"/>
          <w:sz w:val="36"/>
          <w:szCs w:val="36"/>
        </w:rPr>
        <w:t>汉中市互联网租赁自行车服务质量</w:t>
      </w:r>
      <w:r>
        <w:rPr>
          <w:rFonts w:hint="eastAsia" w:ascii="方正小标宋简体" w:hAnsi="仿宋_GB2312" w:eastAsia="方正小标宋简体" w:cs="仿宋_GB2312"/>
          <w:sz w:val="32"/>
          <w:szCs w:val="32"/>
        </w:rPr>
        <w:t>评价</w:t>
      </w:r>
      <w:r>
        <w:rPr>
          <w:rFonts w:hint="eastAsia" w:ascii="方正小标宋简体" w:hAnsi="方正小标宋简体" w:eastAsia="方正小标宋简体" w:cs="方正小标宋简体"/>
          <w:sz w:val="36"/>
          <w:szCs w:val="36"/>
        </w:rPr>
        <w:t>办法及评分细则</w:t>
      </w:r>
      <w:bookmarkEnd w:id="3"/>
      <w:bookmarkEnd w:id="4"/>
    </w:p>
    <w:tbl>
      <w:tblPr>
        <w:tblStyle w:val="17"/>
        <w:tblW w:w="15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875"/>
        <w:gridCol w:w="6885"/>
        <w:gridCol w:w="5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1785" w:type="dxa"/>
            <w:vAlign w:val="center"/>
          </w:tcPr>
          <w:p>
            <w:pPr>
              <w:widowControl/>
              <w:spacing w:line="560" w:lineRule="atLeast"/>
              <w:jc w:val="center"/>
              <w:rPr>
                <w:rFonts w:ascii="黑体" w:hAnsi="黑体" w:eastAsia="黑体" w:cs="黑体"/>
                <w:kern w:val="0"/>
                <w:sz w:val="30"/>
                <w:szCs w:val="30"/>
              </w:rPr>
            </w:pPr>
            <w:r>
              <w:rPr>
                <w:rFonts w:hint="eastAsia" w:ascii="黑体" w:hAnsi="黑体" w:eastAsia="黑体" w:cs="黑体"/>
                <w:kern w:val="0"/>
                <w:sz w:val="30"/>
                <w:szCs w:val="30"/>
              </w:rPr>
              <w:t>一级指标</w:t>
            </w:r>
          </w:p>
        </w:tc>
        <w:tc>
          <w:tcPr>
            <w:tcW w:w="1875" w:type="dxa"/>
            <w:vAlign w:val="center"/>
          </w:tcPr>
          <w:p>
            <w:pPr>
              <w:widowControl/>
              <w:spacing w:line="560" w:lineRule="atLeast"/>
              <w:jc w:val="center"/>
              <w:rPr>
                <w:rFonts w:ascii="黑体" w:hAnsi="黑体" w:eastAsia="黑体" w:cs="黑体"/>
                <w:kern w:val="0"/>
                <w:sz w:val="30"/>
                <w:szCs w:val="30"/>
              </w:rPr>
            </w:pPr>
            <w:r>
              <w:rPr>
                <w:rFonts w:hint="eastAsia" w:ascii="黑体" w:hAnsi="黑体" w:eastAsia="黑体" w:cs="黑体"/>
                <w:kern w:val="0"/>
                <w:sz w:val="30"/>
                <w:szCs w:val="30"/>
              </w:rPr>
              <w:t>二级指标</w:t>
            </w:r>
          </w:p>
        </w:tc>
        <w:tc>
          <w:tcPr>
            <w:tcW w:w="6885" w:type="dxa"/>
            <w:vAlign w:val="center"/>
          </w:tcPr>
          <w:p>
            <w:pPr>
              <w:widowControl/>
              <w:spacing w:line="560" w:lineRule="atLeast"/>
              <w:jc w:val="center"/>
              <w:rPr>
                <w:rFonts w:ascii="黑体" w:hAnsi="黑体" w:eastAsia="黑体" w:cs="黑体"/>
                <w:kern w:val="0"/>
                <w:sz w:val="30"/>
                <w:szCs w:val="30"/>
              </w:rPr>
            </w:pPr>
            <w:r>
              <w:rPr>
                <w:rFonts w:hint="eastAsia" w:ascii="黑体" w:hAnsi="黑体" w:eastAsia="黑体" w:cs="黑体"/>
                <w:kern w:val="0"/>
                <w:sz w:val="30"/>
                <w:szCs w:val="30"/>
              </w:rPr>
              <w:t>考评内容</w:t>
            </w:r>
          </w:p>
        </w:tc>
        <w:tc>
          <w:tcPr>
            <w:tcW w:w="5146" w:type="dxa"/>
            <w:vAlign w:val="center"/>
          </w:tcPr>
          <w:p>
            <w:pPr>
              <w:widowControl/>
              <w:spacing w:line="560" w:lineRule="atLeast"/>
              <w:jc w:val="center"/>
              <w:rPr>
                <w:rFonts w:ascii="黑体" w:hAnsi="黑体" w:eastAsia="黑体" w:cs="黑体"/>
                <w:kern w:val="0"/>
                <w:sz w:val="30"/>
                <w:szCs w:val="30"/>
              </w:rPr>
            </w:pPr>
            <w:r>
              <w:rPr>
                <w:rFonts w:hint="eastAsia" w:ascii="黑体" w:hAnsi="黑体" w:eastAsia="黑体" w:cs="黑体"/>
                <w:kern w:val="0"/>
                <w:sz w:val="30"/>
                <w:szCs w:val="30"/>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85" w:type="dxa"/>
            <w:vMerge w:val="restart"/>
          </w:tcPr>
          <w:p>
            <w:pPr>
              <w:widowControl/>
              <w:spacing w:line="560" w:lineRule="atLeast"/>
              <w:jc w:val="center"/>
              <w:rPr>
                <w:rFonts w:ascii="宋体" w:hAnsi="宋体" w:cs="宋体"/>
                <w:kern w:val="0"/>
                <w:sz w:val="24"/>
              </w:rPr>
            </w:pPr>
          </w:p>
          <w:p>
            <w:pPr>
              <w:widowControl/>
              <w:spacing w:line="560" w:lineRule="atLeast"/>
              <w:jc w:val="center"/>
              <w:rPr>
                <w:rFonts w:ascii="宋体" w:hAnsi="宋体" w:cs="宋体"/>
                <w:kern w:val="0"/>
                <w:sz w:val="24"/>
              </w:rPr>
            </w:pPr>
          </w:p>
          <w:p>
            <w:pPr>
              <w:widowControl/>
              <w:spacing w:line="560" w:lineRule="atLeast"/>
              <w:jc w:val="center"/>
              <w:rPr>
                <w:rFonts w:ascii="宋体" w:hAnsi="宋体" w:cs="宋体"/>
                <w:kern w:val="0"/>
                <w:sz w:val="24"/>
              </w:rPr>
            </w:pPr>
          </w:p>
          <w:p>
            <w:pPr>
              <w:widowControl/>
              <w:spacing w:line="560" w:lineRule="atLeast"/>
              <w:jc w:val="center"/>
              <w:rPr>
                <w:rFonts w:ascii="宋体" w:hAnsi="宋体" w:cs="宋体"/>
                <w:kern w:val="0"/>
                <w:sz w:val="24"/>
              </w:rPr>
            </w:pPr>
          </w:p>
          <w:p>
            <w:pPr>
              <w:widowControl/>
              <w:spacing w:line="560" w:lineRule="atLeast"/>
              <w:jc w:val="center"/>
              <w:rPr>
                <w:rFonts w:ascii="宋体" w:hAnsi="宋体" w:cs="宋体"/>
                <w:kern w:val="0"/>
                <w:sz w:val="24"/>
              </w:rPr>
            </w:pPr>
          </w:p>
          <w:p>
            <w:pPr>
              <w:widowControl/>
              <w:spacing w:line="560" w:lineRule="atLeast"/>
              <w:jc w:val="center"/>
              <w:rPr>
                <w:rFonts w:ascii="宋体" w:hAnsi="宋体" w:cs="宋体"/>
                <w:kern w:val="0"/>
                <w:sz w:val="24"/>
              </w:rPr>
            </w:pPr>
          </w:p>
          <w:p>
            <w:pPr>
              <w:widowControl/>
              <w:spacing w:line="560" w:lineRule="atLeast"/>
              <w:jc w:val="center"/>
              <w:rPr>
                <w:rFonts w:ascii="宋体" w:hAnsi="宋体" w:cs="宋体"/>
                <w:kern w:val="0"/>
                <w:sz w:val="24"/>
              </w:rPr>
            </w:pPr>
            <w:r>
              <w:rPr>
                <w:rFonts w:hint="eastAsia" w:ascii="宋体" w:hAnsi="宋体" w:cs="宋体"/>
                <w:kern w:val="0"/>
                <w:sz w:val="24"/>
              </w:rPr>
              <w:t>经营主体</w:t>
            </w:r>
          </w:p>
          <w:p>
            <w:pPr>
              <w:widowControl/>
              <w:spacing w:line="560" w:lineRule="atLeast"/>
              <w:jc w:val="center"/>
              <w:rPr>
                <w:rFonts w:ascii="宋体" w:hAnsi="宋体" w:cs="宋体"/>
                <w:kern w:val="0"/>
                <w:sz w:val="24"/>
              </w:rPr>
            </w:pPr>
            <w:r>
              <w:rPr>
                <w:rFonts w:hint="eastAsia" w:ascii="宋体" w:hAnsi="宋体" w:cs="宋体"/>
                <w:kern w:val="0"/>
                <w:sz w:val="24"/>
              </w:rPr>
              <w:t>（29分）</w:t>
            </w:r>
          </w:p>
          <w:p>
            <w:pPr>
              <w:widowControl/>
              <w:spacing w:line="560" w:lineRule="atLeast"/>
              <w:jc w:val="center"/>
              <w:rPr>
                <w:rFonts w:ascii="宋体" w:hAnsi="宋体" w:cs="宋体"/>
                <w:kern w:val="0"/>
                <w:sz w:val="24"/>
              </w:rPr>
            </w:pPr>
          </w:p>
          <w:p>
            <w:pPr>
              <w:widowControl/>
              <w:spacing w:line="560" w:lineRule="atLeast"/>
              <w:jc w:val="center"/>
              <w:rPr>
                <w:rFonts w:ascii="宋体" w:hAnsi="宋体" w:cs="宋体"/>
                <w:kern w:val="0"/>
                <w:sz w:val="24"/>
              </w:rPr>
            </w:pPr>
          </w:p>
          <w:p>
            <w:pPr>
              <w:widowControl/>
              <w:spacing w:line="560" w:lineRule="atLeast"/>
              <w:jc w:val="center"/>
              <w:rPr>
                <w:rFonts w:ascii="宋体" w:hAnsi="宋体" w:cs="宋体"/>
                <w:kern w:val="0"/>
                <w:sz w:val="24"/>
              </w:rPr>
            </w:pPr>
          </w:p>
          <w:p>
            <w:pPr>
              <w:widowControl/>
              <w:spacing w:line="560" w:lineRule="atLeast"/>
              <w:jc w:val="center"/>
              <w:rPr>
                <w:rFonts w:ascii="宋体" w:hAnsi="宋体" w:cs="宋体"/>
                <w:kern w:val="0"/>
                <w:sz w:val="24"/>
              </w:rPr>
            </w:pPr>
          </w:p>
          <w:p>
            <w:pPr>
              <w:widowControl/>
              <w:spacing w:line="560" w:lineRule="atLeast"/>
              <w:jc w:val="center"/>
              <w:rPr>
                <w:rFonts w:ascii="宋体" w:hAnsi="宋体" w:cs="宋体"/>
                <w:kern w:val="0"/>
                <w:sz w:val="24"/>
              </w:rPr>
            </w:pPr>
          </w:p>
        </w:tc>
        <w:tc>
          <w:tcPr>
            <w:tcW w:w="1875" w:type="dxa"/>
            <w:vMerge w:val="restart"/>
            <w:vAlign w:val="center"/>
          </w:tcPr>
          <w:p>
            <w:pPr>
              <w:widowControl/>
              <w:spacing w:line="560" w:lineRule="atLeast"/>
              <w:jc w:val="center"/>
              <w:rPr>
                <w:rFonts w:ascii="宋体" w:hAnsi="宋体" w:cs="宋体"/>
                <w:kern w:val="0"/>
                <w:sz w:val="24"/>
              </w:rPr>
            </w:pPr>
            <w:r>
              <w:rPr>
                <w:rFonts w:hint="eastAsia" w:ascii="宋体" w:hAnsi="宋体" w:cs="宋体"/>
                <w:kern w:val="0"/>
                <w:sz w:val="24"/>
              </w:rPr>
              <w:t>经营条件</w:t>
            </w:r>
          </w:p>
          <w:p>
            <w:pPr>
              <w:widowControl/>
              <w:spacing w:line="560" w:lineRule="atLeast"/>
              <w:jc w:val="center"/>
              <w:rPr>
                <w:rFonts w:ascii="宋体" w:hAnsi="宋体" w:cs="宋体"/>
                <w:kern w:val="0"/>
                <w:sz w:val="24"/>
              </w:rPr>
            </w:pPr>
            <w:r>
              <w:rPr>
                <w:rFonts w:hint="eastAsia" w:ascii="宋体" w:hAnsi="宋体" w:cs="宋体"/>
                <w:kern w:val="0"/>
                <w:sz w:val="24"/>
              </w:rPr>
              <w:t>（8分）</w:t>
            </w:r>
          </w:p>
        </w:tc>
        <w:tc>
          <w:tcPr>
            <w:tcW w:w="6885" w:type="dxa"/>
          </w:tcPr>
          <w:p>
            <w:pPr>
              <w:widowControl/>
              <w:spacing w:line="560" w:lineRule="atLeast"/>
              <w:jc w:val="left"/>
              <w:rPr>
                <w:rFonts w:ascii="宋体" w:hAnsi="宋体" w:cs="宋体"/>
                <w:kern w:val="0"/>
                <w:sz w:val="24"/>
              </w:rPr>
            </w:pPr>
            <w:r>
              <w:rPr>
                <w:rFonts w:hint="eastAsia" w:ascii="宋体" w:hAnsi="宋体" w:cs="宋体"/>
                <w:kern w:val="0"/>
                <w:sz w:val="24"/>
              </w:rPr>
              <w:t>按合同约定设立项目公司、配备项目运营设施、投放车辆、商业运营（含维护和更新改造）。</w:t>
            </w:r>
          </w:p>
        </w:tc>
        <w:tc>
          <w:tcPr>
            <w:tcW w:w="5146" w:type="dxa"/>
            <w:vMerge w:val="restart"/>
            <w:vAlign w:val="center"/>
          </w:tcPr>
          <w:p>
            <w:pPr>
              <w:widowControl/>
              <w:spacing w:line="560" w:lineRule="atLeast"/>
              <w:jc w:val="left"/>
              <w:rPr>
                <w:rFonts w:ascii="宋体" w:hAnsi="宋体" w:cs="宋体"/>
                <w:kern w:val="0"/>
                <w:sz w:val="24"/>
              </w:rPr>
            </w:pPr>
            <w:r>
              <w:rPr>
                <w:rFonts w:hint="eastAsia" w:ascii="宋体" w:hAnsi="宋体" w:cs="宋体"/>
                <w:kern w:val="0"/>
                <w:sz w:val="24"/>
              </w:rPr>
              <w:t>提供相关资料，未提供或出现不达标的情况一项扣2分，扣完本项分值为止。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85" w:type="dxa"/>
            <w:vMerge w:val="continue"/>
          </w:tcPr>
          <w:p>
            <w:pPr>
              <w:widowControl/>
              <w:spacing w:line="560" w:lineRule="atLeast"/>
              <w:jc w:val="left"/>
              <w:rPr>
                <w:rFonts w:ascii="宋体" w:hAnsi="宋体" w:cs="宋体"/>
                <w:kern w:val="0"/>
                <w:sz w:val="24"/>
              </w:rPr>
            </w:pPr>
          </w:p>
        </w:tc>
        <w:tc>
          <w:tcPr>
            <w:tcW w:w="1875" w:type="dxa"/>
            <w:vMerge w:val="continue"/>
            <w:vAlign w:val="center"/>
          </w:tcPr>
          <w:p>
            <w:pPr>
              <w:widowControl/>
              <w:spacing w:line="560" w:lineRule="atLeast"/>
              <w:rPr>
                <w:rFonts w:ascii="宋体" w:hAnsi="宋体" w:cs="宋体"/>
                <w:kern w:val="0"/>
                <w:sz w:val="24"/>
              </w:rPr>
            </w:pPr>
          </w:p>
        </w:tc>
        <w:tc>
          <w:tcPr>
            <w:tcW w:w="6885"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在汉中市有固定办公场所及固定负责人，营运管理人员，并向主管部门报备。（在本市行政区域内具有固定办公场所的证明文件原件及复印件）。</w:t>
            </w:r>
          </w:p>
        </w:tc>
        <w:tc>
          <w:tcPr>
            <w:tcW w:w="5146" w:type="dxa"/>
            <w:vMerge w:val="continue"/>
            <w:vAlign w:val="center"/>
          </w:tcPr>
          <w:p>
            <w:pPr>
              <w:widowControl/>
              <w:spacing w:line="560" w:lineRule="atLeas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1785" w:type="dxa"/>
            <w:vMerge w:val="continue"/>
          </w:tcPr>
          <w:p>
            <w:pPr>
              <w:widowControl/>
              <w:spacing w:line="560" w:lineRule="atLeast"/>
              <w:jc w:val="left"/>
              <w:rPr>
                <w:rFonts w:ascii="宋体" w:hAnsi="宋体" w:cs="宋体"/>
                <w:kern w:val="0"/>
                <w:sz w:val="24"/>
              </w:rPr>
            </w:pPr>
          </w:p>
        </w:tc>
        <w:tc>
          <w:tcPr>
            <w:tcW w:w="1875" w:type="dxa"/>
            <w:vMerge w:val="continue"/>
            <w:vAlign w:val="center"/>
          </w:tcPr>
          <w:p>
            <w:pPr>
              <w:widowControl/>
              <w:spacing w:line="560" w:lineRule="atLeast"/>
              <w:rPr>
                <w:rFonts w:ascii="宋体" w:hAnsi="宋体" w:cs="宋体"/>
                <w:kern w:val="0"/>
                <w:sz w:val="24"/>
              </w:rPr>
            </w:pPr>
          </w:p>
        </w:tc>
        <w:tc>
          <w:tcPr>
            <w:tcW w:w="6885"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运营企业应配备与车辆投放规模相匹配的线上及线下专职管理和运维人员，具备线上线下服务能力，并能根据政府指令完成及时调拨调度。</w:t>
            </w:r>
          </w:p>
        </w:tc>
        <w:tc>
          <w:tcPr>
            <w:tcW w:w="5146" w:type="dxa"/>
            <w:vMerge w:val="continue"/>
            <w:vAlign w:val="center"/>
          </w:tcPr>
          <w:p>
            <w:pPr>
              <w:widowControl/>
              <w:spacing w:line="560" w:lineRule="atLeas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85" w:type="dxa"/>
            <w:vMerge w:val="continue"/>
          </w:tcPr>
          <w:p>
            <w:pPr>
              <w:widowControl/>
              <w:spacing w:line="560" w:lineRule="atLeast"/>
              <w:jc w:val="left"/>
              <w:rPr>
                <w:rFonts w:ascii="宋体" w:hAnsi="宋体" w:cs="宋体"/>
                <w:kern w:val="0"/>
                <w:sz w:val="24"/>
              </w:rPr>
            </w:pPr>
          </w:p>
        </w:tc>
        <w:tc>
          <w:tcPr>
            <w:tcW w:w="1875" w:type="dxa"/>
            <w:vMerge w:val="continue"/>
            <w:vAlign w:val="center"/>
          </w:tcPr>
          <w:p>
            <w:pPr>
              <w:widowControl/>
              <w:spacing w:line="560" w:lineRule="atLeast"/>
              <w:rPr>
                <w:rFonts w:ascii="宋体" w:hAnsi="宋体" w:cs="宋体"/>
                <w:kern w:val="0"/>
                <w:sz w:val="24"/>
              </w:rPr>
            </w:pPr>
          </w:p>
        </w:tc>
        <w:tc>
          <w:tcPr>
            <w:tcW w:w="6885"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运营企业应配备与车辆投放规模相匹配的办公、仓库、维修、充电等配套设施。</w:t>
            </w:r>
          </w:p>
        </w:tc>
        <w:tc>
          <w:tcPr>
            <w:tcW w:w="5146" w:type="dxa"/>
            <w:vMerge w:val="continue"/>
            <w:vAlign w:val="center"/>
          </w:tcPr>
          <w:p>
            <w:pPr>
              <w:widowControl/>
              <w:spacing w:line="560" w:lineRule="atLeas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85" w:type="dxa"/>
            <w:vMerge w:val="continue"/>
          </w:tcPr>
          <w:p>
            <w:pPr>
              <w:widowControl/>
              <w:spacing w:line="560" w:lineRule="atLeast"/>
              <w:jc w:val="left"/>
              <w:rPr>
                <w:rFonts w:ascii="宋体" w:hAnsi="宋体" w:cs="宋体"/>
                <w:kern w:val="0"/>
                <w:sz w:val="24"/>
              </w:rPr>
            </w:pPr>
          </w:p>
        </w:tc>
        <w:tc>
          <w:tcPr>
            <w:tcW w:w="187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管理制度</w:t>
            </w:r>
          </w:p>
          <w:p>
            <w:pPr>
              <w:widowControl/>
              <w:spacing w:line="560" w:lineRule="atLeast"/>
              <w:jc w:val="center"/>
              <w:rPr>
                <w:rFonts w:ascii="宋体" w:hAnsi="宋体" w:cs="宋体"/>
                <w:kern w:val="0"/>
                <w:sz w:val="24"/>
              </w:rPr>
            </w:pPr>
            <w:r>
              <w:rPr>
                <w:rFonts w:hint="eastAsia" w:ascii="宋体" w:hAnsi="宋体" w:cs="宋体"/>
                <w:kern w:val="0"/>
                <w:sz w:val="24"/>
              </w:rPr>
              <w:t>（4分）</w:t>
            </w:r>
          </w:p>
        </w:tc>
        <w:tc>
          <w:tcPr>
            <w:tcW w:w="6885" w:type="dxa"/>
            <w:vAlign w:val="center"/>
          </w:tcPr>
          <w:p>
            <w:pPr>
              <w:widowControl/>
              <w:spacing w:line="560" w:lineRule="atLeast"/>
              <w:rPr>
                <w:rFonts w:ascii="宋体" w:hAnsi="宋体" w:cs="宋体"/>
                <w:kern w:val="0"/>
                <w:sz w:val="24"/>
              </w:rPr>
            </w:pPr>
            <w:r>
              <w:rPr>
                <w:rFonts w:hint="eastAsia" w:ascii="宋体" w:hAnsi="宋体" w:cs="宋体"/>
                <w:kern w:val="0"/>
                <w:sz w:val="24"/>
              </w:rPr>
              <w:t>建立安全措施与紧急情况处置制度、管理和运维人员管理考评制度、服务质量保障制度、自行车车辆运行维护制度、自行车车辆停放秩序管理制度、日常工作、重大事件的影像存档制度、用户信用评价制度、网络及信息安全管理制度、故障车辆回收管理制度、服务纠纷及投诉处理制度。</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提供相关管理制度，未提供或出现不达标的情况一项扣0.4分，扣完本项分值为止。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85" w:type="dxa"/>
            <w:vMerge w:val="continue"/>
          </w:tcPr>
          <w:p>
            <w:pPr>
              <w:widowControl/>
              <w:spacing w:line="560" w:lineRule="atLeast"/>
              <w:jc w:val="left"/>
              <w:rPr>
                <w:rFonts w:ascii="宋体" w:hAnsi="宋体" w:cs="宋体"/>
                <w:kern w:val="0"/>
                <w:sz w:val="24"/>
              </w:rPr>
            </w:pPr>
          </w:p>
        </w:tc>
        <w:tc>
          <w:tcPr>
            <w:tcW w:w="187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人员管理</w:t>
            </w:r>
          </w:p>
          <w:p>
            <w:pPr>
              <w:widowControl/>
              <w:spacing w:line="560" w:lineRule="atLeast"/>
              <w:jc w:val="center"/>
              <w:rPr>
                <w:rFonts w:ascii="宋体" w:hAnsi="宋体" w:cs="宋体"/>
                <w:kern w:val="0"/>
                <w:sz w:val="24"/>
              </w:rPr>
            </w:pPr>
            <w:r>
              <w:rPr>
                <w:rFonts w:hint="eastAsia" w:ascii="宋体" w:hAnsi="宋体" w:cs="宋体"/>
                <w:kern w:val="0"/>
                <w:sz w:val="24"/>
              </w:rPr>
              <w:t>（3分）</w:t>
            </w:r>
          </w:p>
        </w:tc>
        <w:tc>
          <w:tcPr>
            <w:tcW w:w="6885"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应配置运营管理、人力资源、财务、信息系统维护、车辆调运、日常检查、维修保养、安全管理、服务热线及服务质量投诉受理等人员。符合规定的营运维护、管理人员相关证明材料（人员名单、劳动合同或者劳务派遣合同、社保证明等）</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提供相关资料，未提供或出现不达标的情况一项扣0.4分，扣完本项分值为止。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jc w:val="center"/>
        </w:trPr>
        <w:tc>
          <w:tcPr>
            <w:tcW w:w="1785" w:type="dxa"/>
            <w:vMerge w:val="continue"/>
          </w:tcPr>
          <w:p>
            <w:pPr>
              <w:widowControl/>
              <w:spacing w:line="560" w:lineRule="atLeast"/>
              <w:jc w:val="left"/>
              <w:rPr>
                <w:rFonts w:ascii="宋体" w:hAnsi="宋体" w:cs="宋体"/>
                <w:kern w:val="0"/>
                <w:sz w:val="24"/>
              </w:rPr>
            </w:pPr>
          </w:p>
        </w:tc>
        <w:tc>
          <w:tcPr>
            <w:tcW w:w="187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设施设备</w:t>
            </w:r>
          </w:p>
          <w:p>
            <w:pPr>
              <w:widowControl/>
              <w:spacing w:line="560" w:lineRule="atLeast"/>
              <w:jc w:val="center"/>
              <w:rPr>
                <w:rFonts w:ascii="宋体" w:hAnsi="宋体" w:cs="宋体"/>
                <w:kern w:val="0"/>
                <w:sz w:val="24"/>
              </w:rPr>
            </w:pPr>
            <w:r>
              <w:rPr>
                <w:rFonts w:hint="eastAsia" w:ascii="宋体" w:hAnsi="宋体" w:cs="宋体"/>
                <w:kern w:val="0"/>
                <w:sz w:val="24"/>
              </w:rPr>
              <w:t>（2分）</w:t>
            </w:r>
          </w:p>
        </w:tc>
        <w:tc>
          <w:tcPr>
            <w:tcW w:w="6885" w:type="dxa"/>
            <w:vAlign w:val="center"/>
          </w:tcPr>
          <w:p>
            <w:pPr>
              <w:widowControl/>
              <w:spacing w:line="560" w:lineRule="atLeast"/>
              <w:rPr>
                <w:rFonts w:ascii="宋体" w:hAnsi="宋体" w:cs="宋体"/>
                <w:kern w:val="0"/>
                <w:sz w:val="24"/>
              </w:rPr>
            </w:pPr>
            <w:r>
              <w:rPr>
                <w:rFonts w:hint="eastAsia" w:ascii="宋体" w:hAnsi="宋体" w:cs="宋体"/>
                <w:kern w:val="0"/>
                <w:sz w:val="24"/>
              </w:rPr>
              <w:t>配备符合合同规定的线下调运车辆。</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未配备专用调运车车辆的扣完本项分值；配备专用调运车辆，但车辆未统一喷涂“互联网租赁自行车运维调度”标识及服务热线电话的，扣除1分。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1" w:hRule="atLeast"/>
          <w:jc w:val="center"/>
        </w:trPr>
        <w:tc>
          <w:tcPr>
            <w:tcW w:w="1785" w:type="dxa"/>
            <w:vMerge w:val="continue"/>
          </w:tcPr>
          <w:p>
            <w:pPr>
              <w:widowControl/>
              <w:spacing w:line="560" w:lineRule="atLeast"/>
              <w:jc w:val="left"/>
              <w:rPr>
                <w:rFonts w:ascii="宋体" w:hAnsi="宋体" w:cs="宋体"/>
                <w:kern w:val="0"/>
                <w:sz w:val="24"/>
              </w:rPr>
            </w:pPr>
          </w:p>
        </w:tc>
        <w:tc>
          <w:tcPr>
            <w:tcW w:w="187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投入车辆要求</w:t>
            </w:r>
          </w:p>
          <w:p>
            <w:pPr>
              <w:widowControl/>
              <w:spacing w:line="560" w:lineRule="atLeast"/>
              <w:jc w:val="center"/>
              <w:rPr>
                <w:rFonts w:ascii="宋体" w:hAnsi="宋体" w:cs="宋体"/>
                <w:kern w:val="0"/>
                <w:sz w:val="24"/>
              </w:rPr>
            </w:pPr>
            <w:r>
              <w:rPr>
                <w:rFonts w:hint="eastAsia" w:ascii="宋体" w:hAnsi="宋体" w:cs="宋体"/>
                <w:kern w:val="0"/>
                <w:sz w:val="24"/>
              </w:rPr>
              <w:t>（10分）</w:t>
            </w:r>
          </w:p>
        </w:tc>
        <w:tc>
          <w:tcPr>
            <w:tcW w:w="6885"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互联网租赁自行车必须符合《自行车安全要求》（GB/T3565.2—2022）有关技术规定，通过国家CCC认证，符合本市自行车安全规范管理要求。自行车限载1人，鞍座高度≥635mm，横管的总宽度在350mm—1000mm之间，在车架的显眼部位，如靠近脚蹬的曲柄、鞍管或车把等位置明显而永久性地标注上车架的序列号。       互联网租赁电动自行车必须符合《电动自行车安全技术规范》（GB17761-2018）有关技术要求，必须具备脚踏骑行能力，最高时速不得超过25千米每小时，不得加装影响安全骑行的附属设备；车辆有统一品牌标志，每辆车有唯一性的编号和二维码；车辆应配备智能定位系统和具有数据通讯技术的智能锁；车辆必须统一配备安全头盔；车辆在投放营运前应向市交通、城管出具质量检验合格证明；车辆性</w:t>
            </w:r>
            <w:r>
              <w:rPr>
                <w:rFonts w:hint="eastAsia" w:ascii="宋体" w:hAnsi="宋体" w:cs="宋体"/>
                <w:color w:val="0000FF"/>
                <w:kern w:val="0"/>
                <w:sz w:val="24"/>
              </w:rPr>
              <w:t>能必须完好；车辆车身必须整洁，不</w:t>
            </w:r>
            <w:r>
              <w:rPr>
                <w:rFonts w:hint="eastAsia" w:ascii="宋体" w:hAnsi="宋体" w:cs="宋体"/>
                <w:kern w:val="0"/>
                <w:sz w:val="24"/>
              </w:rPr>
              <w:t>得违规设置广告；车辆自身二维码必须清晰安全，避免二维码陷阱给用户造成损失。</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未按要求投入车辆的扣完本项分值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785" w:type="dxa"/>
            <w:vMerge w:val="continue"/>
          </w:tcPr>
          <w:p>
            <w:pPr>
              <w:widowControl/>
              <w:spacing w:line="560" w:lineRule="atLeast"/>
              <w:jc w:val="left"/>
              <w:rPr>
                <w:rFonts w:ascii="宋体" w:hAnsi="宋体" w:cs="宋体"/>
                <w:kern w:val="0"/>
                <w:sz w:val="24"/>
              </w:rPr>
            </w:pPr>
          </w:p>
        </w:tc>
        <w:tc>
          <w:tcPr>
            <w:tcW w:w="187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信息化建设</w:t>
            </w:r>
          </w:p>
          <w:p>
            <w:pPr>
              <w:widowControl/>
              <w:spacing w:line="560" w:lineRule="atLeast"/>
              <w:jc w:val="center"/>
              <w:rPr>
                <w:rFonts w:ascii="宋体" w:hAnsi="宋体" w:cs="宋体"/>
                <w:kern w:val="0"/>
                <w:sz w:val="24"/>
              </w:rPr>
            </w:pPr>
            <w:r>
              <w:rPr>
                <w:rFonts w:hint="eastAsia" w:ascii="宋体" w:hAnsi="宋体" w:cs="宋体"/>
                <w:kern w:val="0"/>
                <w:sz w:val="24"/>
              </w:rPr>
              <w:t>（2分）</w:t>
            </w:r>
          </w:p>
        </w:tc>
        <w:tc>
          <w:tcPr>
            <w:tcW w:w="6885"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按照规定建设运营信息平台，并提供相关数据信息。</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未按服务要求搭建信息平台的扣除本项分值。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1785" w:type="dxa"/>
            <w:vMerge w:val="restart"/>
          </w:tcPr>
          <w:p>
            <w:pPr>
              <w:widowControl/>
              <w:spacing w:line="560" w:lineRule="atLeast"/>
              <w:jc w:val="left"/>
              <w:rPr>
                <w:rFonts w:ascii="宋体" w:hAnsi="宋体" w:cs="宋体"/>
                <w:kern w:val="0"/>
                <w:sz w:val="24"/>
              </w:rPr>
            </w:pPr>
          </w:p>
          <w:p>
            <w:pPr>
              <w:widowControl/>
              <w:spacing w:line="560" w:lineRule="atLeast"/>
              <w:jc w:val="left"/>
              <w:rPr>
                <w:rFonts w:ascii="宋体" w:hAnsi="宋体" w:cs="宋体"/>
                <w:kern w:val="0"/>
                <w:sz w:val="24"/>
              </w:rPr>
            </w:pPr>
          </w:p>
          <w:p>
            <w:pPr>
              <w:widowControl/>
              <w:spacing w:line="560" w:lineRule="atLeast"/>
              <w:jc w:val="center"/>
              <w:rPr>
                <w:rFonts w:ascii="宋体" w:hAnsi="宋体" w:cs="宋体"/>
                <w:kern w:val="0"/>
                <w:sz w:val="24"/>
              </w:rPr>
            </w:pPr>
          </w:p>
          <w:p>
            <w:pPr>
              <w:widowControl/>
              <w:spacing w:line="560" w:lineRule="atLeast"/>
              <w:jc w:val="center"/>
              <w:rPr>
                <w:rFonts w:ascii="宋体" w:hAnsi="宋体" w:cs="宋体"/>
                <w:kern w:val="0"/>
                <w:sz w:val="24"/>
              </w:rPr>
            </w:pPr>
            <w:r>
              <w:rPr>
                <w:rFonts w:hint="eastAsia" w:ascii="宋体" w:hAnsi="宋体" w:cs="宋体"/>
                <w:kern w:val="0"/>
                <w:sz w:val="24"/>
              </w:rPr>
              <w:t>服务管理</w:t>
            </w:r>
          </w:p>
          <w:p>
            <w:pPr>
              <w:widowControl/>
              <w:spacing w:line="560" w:lineRule="atLeast"/>
              <w:jc w:val="center"/>
              <w:rPr>
                <w:rFonts w:ascii="宋体" w:hAnsi="宋体" w:cs="宋体"/>
                <w:kern w:val="0"/>
                <w:sz w:val="24"/>
              </w:rPr>
            </w:pPr>
            <w:r>
              <w:rPr>
                <w:rFonts w:hint="eastAsia" w:ascii="宋体" w:hAnsi="宋体" w:cs="宋体"/>
                <w:kern w:val="0"/>
                <w:sz w:val="24"/>
              </w:rPr>
              <w:t>（25分）</w:t>
            </w:r>
          </w:p>
          <w:p>
            <w:pPr>
              <w:widowControl/>
              <w:spacing w:line="560" w:lineRule="atLeast"/>
              <w:jc w:val="left"/>
              <w:rPr>
                <w:rFonts w:ascii="宋体" w:hAnsi="宋体" w:cs="宋体"/>
                <w:kern w:val="0"/>
                <w:sz w:val="24"/>
              </w:rPr>
            </w:pPr>
          </w:p>
          <w:p>
            <w:pPr>
              <w:widowControl/>
              <w:spacing w:line="560" w:lineRule="atLeast"/>
              <w:jc w:val="left"/>
              <w:rPr>
                <w:rFonts w:ascii="宋体" w:hAnsi="宋体" w:cs="宋体"/>
                <w:kern w:val="0"/>
                <w:sz w:val="24"/>
              </w:rPr>
            </w:pPr>
          </w:p>
          <w:p>
            <w:pPr>
              <w:widowControl/>
              <w:spacing w:line="560" w:lineRule="atLeast"/>
              <w:jc w:val="left"/>
              <w:rPr>
                <w:rFonts w:ascii="宋体" w:hAnsi="宋体" w:cs="宋体"/>
                <w:kern w:val="0"/>
                <w:sz w:val="24"/>
              </w:rPr>
            </w:pPr>
          </w:p>
          <w:p>
            <w:pPr>
              <w:widowControl/>
              <w:spacing w:line="560" w:lineRule="atLeast"/>
              <w:jc w:val="left"/>
              <w:rPr>
                <w:rFonts w:ascii="宋体" w:hAnsi="宋体" w:cs="宋体"/>
                <w:kern w:val="0"/>
                <w:sz w:val="24"/>
              </w:rPr>
            </w:pPr>
          </w:p>
          <w:p>
            <w:pPr>
              <w:widowControl/>
              <w:spacing w:line="560" w:lineRule="atLeast"/>
              <w:jc w:val="left"/>
              <w:rPr>
                <w:rFonts w:ascii="宋体" w:hAnsi="宋体" w:cs="宋体"/>
                <w:kern w:val="0"/>
                <w:sz w:val="24"/>
              </w:rPr>
            </w:pPr>
          </w:p>
        </w:tc>
        <w:tc>
          <w:tcPr>
            <w:tcW w:w="187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服务热线受理</w:t>
            </w:r>
          </w:p>
          <w:p>
            <w:pPr>
              <w:widowControl/>
              <w:spacing w:line="560" w:lineRule="atLeast"/>
              <w:jc w:val="center"/>
              <w:rPr>
                <w:rFonts w:ascii="宋体" w:hAnsi="宋体" w:cs="宋体"/>
                <w:kern w:val="0"/>
                <w:sz w:val="24"/>
              </w:rPr>
            </w:pPr>
            <w:r>
              <w:rPr>
                <w:rFonts w:hint="eastAsia" w:ascii="宋体" w:hAnsi="宋体" w:cs="宋体"/>
                <w:kern w:val="0"/>
                <w:sz w:val="24"/>
              </w:rPr>
              <w:t>（2分）</w:t>
            </w:r>
          </w:p>
        </w:tc>
        <w:tc>
          <w:tcPr>
            <w:tcW w:w="6885"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服务热线有人值守，并有相关值班记录。</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未建立服务热线的扣2分，抽查值班记录，记录不全、内容不完整的，每次扣1分，扣完本项分值为止。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1785" w:type="dxa"/>
            <w:vMerge w:val="continue"/>
            <w:tcBorders>
              <w:bottom w:val="single" w:color="auto" w:sz="4" w:space="0"/>
            </w:tcBorders>
          </w:tcPr>
          <w:p>
            <w:pPr>
              <w:widowControl/>
              <w:spacing w:line="560" w:lineRule="atLeast"/>
              <w:jc w:val="left"/>
              <w:rPr>
                <w:rFonts w:ascii="宋体" w:hAnsi="宋体" w:cs="宋体"/>
                <w:kern w:val="0"/>
                <w:sz w:val="24"/>
              </w:rPr>
            </w:pPr>
          </w:p>
        </w:tc>
        <w:tc>
          <w:tcPr>
            <w:tcW w:w="1875" w:type="dxa"/>
            <w:tcBorders>
              <w:bottom w:val="single" w:color="auto" w:sz="4" w:space="0"/>
            </w:tcBorders>
            <w:vAlign w:val="center"/>
          </w:tcPr>
          <w:p>
            <w:pPr>
              <w:widowControl/>
              <w:spacing w:line="560" w:lineRule="atLeast"/>
              <w:jc w:val="center"/>
              <w:rPr>
                <w:rFonts w:ascii="宋体" w:hAnsi="宋体" w:cs="宋体"/>
                <w:kern w:val="0"/>
                <w:sz w:val="24"/>
              </w:rPr>
            </w:pPr>
            <w:r>
              <w:rPr>
                <w:rFonts w:hint="eastAsia" w:ascii="宋体" w:hAnsi="宋体" w:cs="宋体"/>
                <w:kern w:val="0"/>
                <w:sz w:val="24"/>
              </w:rPr>
              <w:t>公众投诉处理</w:t>
            </w:r>
          </w:p>
          <w:p>
            <w:pPr>
              <w:widowControl/>
              <w:spacing w:line="560" w:lineRule="atLeast"/>
              <w:jc w:val="center"/>
              <w:rPr>
                <w:rFonts w:ascii="宋体" w:hAnsi="宋体" w:cs="宋体"/>
                <w:kern w:val="0"/>
                <w:sz w:val="24"/>
              </w:rPr>
            </w:pPr>
            <w:r>
              <w:rPr>
                <w:rFonts w:hint="eastAsia" w:ascii="宋体" w:hAnsi="宋体" w:cs="宋体"/>
                <w:kern w:val="0"/>
                <w:sz w:val="24"/>
              </w:rPr>
              <w:t>质量</w:t>
            </w:r>
          </w:p>
          <w:p>
            <w:pPr>
              <w:widowControl/>
              <w:spacing w:line="560" w:lineRule="atLeast"/>
              <w:jc w:val="center"/>
              <w:rPr>
                <w:rFonts w:ascii="宋体" w:hAnsi="宋体" w:cs="宋体"/>
                <w:kern w:val="0"/>
                <w:sz w:val="24"/>
              </w:rPr>
            </w:pPr>
            <w:r>
              <w:rPr>
                <w:rFonts w:hint="eastAsia" w:ascii="宋体" w:hAnsi="宋体" w:cs="宋体"/>
                <w:kern w:val="0"/>
                <w:sz w:val="24"/>
              </w:rPr>
              <w:t>（3分）</w:t>
            </w:r>
          </w:p>
        </w:tc>
        <w:tc>
          <w:tcPr>
            <w:tcW w:w="6885" w:type="dxa"/>
            <w:tcBorders>
              <w:bottom w:val="single" w:color="auto" w:sz="4" w:space="0"/>
            </w:tcBorders>
            <w:vAlign w:val="center"/>
          </w:tcPr>
          <w:p>
            <w:pPr>
              <w:widowControl/>
              <w:spacing w:line="560" w:lineRule="atLeast"/>
              <w:jc w:val="left"/>
              <w:rPr>
                <w:rFonts w:ascii="宋体" w:hAnsi="宋体" w:cs="宋体"/>
                <w:kern w:val="0"/>
                <w:sz w:val="24"/>
              </w:rPr>
            </w:pPr>
            <w:r>
              <w:rPr>
                <w:rFonts w:hint="eastAsia" w:ascii="宋体" w:hAnsi="宋体" w:cs="宋体"/>
                <w:kern w:val="0"/>
                <w:sz w:val="24"/>
              </w:rPr>
              <w:t>企业应及时受理投诉，在规定时间内处理并回复。</w:t>
            </w:r>
          </w:p>
        </w:tc>
        <w:tc>
          <w:tcPr>
            <w:tcW w:w="5146" w:type="dxa"/>
            <w:tcBorders>
              <w:bottom w:val="single" w:color="auto" w:sz="4" w:space="0"/>
            </w:tcBorders>
            <w:vAlign w:val="center"/>
          </w:tcPr>
          <w:p>
            <w:pPr>
              <w:widowControl/>
              <w:spacing w:line="560" w:lineRule="atLeast"/>
              <w:jc w:val="left"/>
              <w:rPr>
                <w:rFonts w:ascii="宋体" w:hAnsi="宋体" w:cs="宋体"/>
                <w:kern w:val="0"/>
                <w:sz w:val="24"/>
              </w:rPr>
            </w:pPr>
            <w:r>
              <w:rPr>
                <w:rFonts w:hint="eastAsia" w:ascii="宋体" w:hAnsi="宋体" w:cs="宋体"/>
                <w:kern w:val="0"/>
                <w:sz w:val="24"/>
              </w:rPr>
              <w:t>企业建立投诉处理台账，且有投诉受理、处理情况、回复记录等完整投诉处理资料。未建立投诉处理台账及相关处理资料扣3分，有台账但不完善每次扣2分，扣完本项分值为止。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785" w:type="dxa"/>
            <w:vMerge w:val="continue"/>
          </w:tcPr>
          <w:p>
            <w:pPr>
              <w:widowControl/>
              <w:spacing w:line="560" w:lineRule="atLeast"/>
              <w:jc w:val="left"/>
              <w:rPr>
                <w:rFonts w:ascii="宋体" w:hAnsi="宋体" w:cs="宋体"/>
                <w:kern w:val="0"/>
                <w:sz w:val="24"/>
              </w:rPr>
            </w:pPr>
          </w:p>
        </w:tc>
        <w:tc>
          <w:tcPr>
            <w:tcW w:w="187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用户保险</w:t>
            </w:r>
          </w:p>
          <w:p>
            <w:pPr>
              <w:widowControl/>
              <w:spacing w:line="560" w:lineRule="atLeast"/>
              <w:jc w:val="center"/>
              <w:rPr>
                <w:rFonts w:ascii="宋体" w:hAnsi="宋体" w:cs="宋体"/>
                <w:kern w:val="0"/>
                <w:sz w:val="24"/>
              </w:rPr>
            </w:pPr>
            <w:r>
              <w:rPr>
                <w:rFonts w:hint="eastAsia" w:ascii="宋体" w:hAnsi="宋体" w:cs="宋体"/>
                <w:kern w:val="0"/>
                <w:sz w:val="24"/>
              </w:rPr>
              <w:t>（5分）</w:t>
            </w:r>
          </w:p>
        </w:tc>
        <w:tc>
          <w:tcPr>
            <w:tcW w:w="6885"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主动为用户购买人身意外伤害保险。（出具相关证明）</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未购买用户保险或保额不足的直接扣除本项分值。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85" w:type="dxa"/>
            <w:vMerge w:val="continue"/>
          </w:tcPr>
          <w:p>
            <w:pPr>
              <w:widowControl/>
              <w:spacing w:line="560" w:lineRule="atLeast"/>
              <w:rPr>
                <w:rFonts w:ascii="宋体" w:hAnsi="宋体" w:cs="宋体"/>
                <w:kern w:val="0"/>
                <w:sz w:val="24"/>
              </w:rPr>
            </w:pPr>
          </w:p>
        </w:tc>
        <w:tc>
          <w:tcPr>
            <w:tcW w:w="187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用户信息安全</w:t>
            </w:r>
          </w:p>
          <w:p>
            <w:pPr>
              <w:widowControl/>
              <w:spacing w:line="560" w:lineRule="atLeast"/>
              <w:jc w:val="center"/>
              <w:rPr>
                <w:rFonts w:ascii="宋体" w:hAnsi="宋体" w:cs="宋体"/>
                <w:kern w:val="0"/>
                <w:sz w:val="24"/>
              </w:rPr>
            </w:pPr>
            <w:r>
              <w:rPr>
                <w:rFonts w:hint="eastAsia" w:ascii="宋体" w:hAnsi="宋体" w:cs="宋体"/>
                <w:kern w:val="0"/>
                <w:sz w:val="24"/>
              </w:rPr>
              <w:t>（5分）</w:t>
            </w:r>
          </w:p>
        </w:tc>
        <w:tc>
          <w:tcPr>
            <w:tcW w:w="6885"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为用户提供信息安全保障措施，严格保护用户的个人隐私、保障用户信息安全。</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发生用户信息泄露的情况，每次扣1分，扣完本项分值为止。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0" w:hRule="atLeast"/>
          <w:jc w:val="center"/>
        </w:trPr>
        <w:tc>
          <w:tcPr>
            <w:tcW w:w="1785" w:type="dxa"/>
            <w:vMerge w:val="continue"/>
          </w:tcPr>
          <w:p>
            <w:pPr>
              <w:widowControl/>
              <w:spacing w:line="560" w:lineRule="atLeast"/>
              <w:rPr>
                <w:rFonts w:ascii="宋体" w:hAnsi="宋体" w:cs="宋体"/>
                <w:kern w:val="0"/>
                <w:sz w:val="24"/>
              </w:rPr>
            </w:pPr>
          </w:p>
        </w:tc>
        <w:tc>
          <w:tcPr>
            <w:tcW w:w="187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维护管理</w:t>
            </w:r>
          </w:p>
          <w:p>
            <w:pPr>
              <w:widowControl/>
              <w:spacing w:line="560" w:lineRule="atLeast"/>
              <w:jc w:val="center"/>
              <w:rPr>
                <w:rFonts w:ascii="宋体" w:hAnsi="宋体" w:cs="宋体"/>
                <w:kern w:val="0"/>
                <w:sz w:val="24"/>
              </w:rPr>
            </w:pPr>
            <w:r>
              <w:rPr>
                <w:rFonts w:hint="eastAsia" w:ascii="宋体" w:hAnsi="宋体" w:cs="宋体"/>
                <w:kern w:val="0"/>
                <w:sz w:val="24"/>
              </w:rPr>
              <w:t>（5分）</w:t>
            </w:r>
          </w:p>
        </w:tc>
        <w:tc>
          <w:tcPr>
            <w:tcW w:w="6885"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1.企业应运用“精准定点停放（定点、定向、定量、等距）”等相关技术，依据相关法律法规要求，明确告知用户适停区域、禁停区域，规范用户骑行和停车行为。</w:t>
            </w:r>
          </w:p>
          <w:p>
            <w:pPr>
              <w:widowControl/>
              <w:spacing w:line="560" w:lineRule="atLeast"/>
              <w:jc w:val="left"/>
              <w:rPr>
                <w:rFonts w:ascii="宋体" w:hAnsi="宋体" w:cs="宋体"/>
                <w:kern w:val="0"/>
                <w:sz w:val="24"/>
              </w:rPr>
            </w:pPr>
            <w:r>
              <w:rPr>
                <w:rFonts w:hint="eastAsia" w:ascii="宋体" w:hAnsi="宋体" w:cs="宋体"/>
                <w:kern w:val="0"/>
                <w:sz w:val="24"/>
              </w:rPr>
              <w:t>2.企业应设置专职线下停放秩序管理维护团队，对重点区域、路段实施驻点值守管理。</w:t>
            </w:r>
          </w:p>
          <w:p>
            <w:pPr>
              <w:widowControl/>
              <w:spacing w:line="560" w:lineRule="atLeast"/>
              <w:jc w:val="left"/>
              <w:rPr>
                <w:rFonts w:ascii="宋体" w:hAnsi="宋体" w:cs="宋体"/>
                <w:sz w:val="24"/>
              </w:rPr>
            </w:pPr>
            <w:r>
              <w:rPr>
                <w:rFonts w:hint="eastAsia" w:ascii="宋体" w:hAnsi="宋体" w:cs="宋体"/>
                <w:kern w:val="0"/>
                <w:sz w:val="24"/>
              </w:rPr>
              <w:t>3.企业应加强对车辆的巡视、巡查，及时收回并维修或更换有故障的互联网租赁自行车，及时清理违规停放和损坏丢弃的车辆；对驶入禁行区域的车辆采取断电措施。</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1.未设置“精准定点停放（定点、定向、定量、等距）”等技术的不得分；未设置适停区域、禁停区域的扣2分；未设置文明用车引导的扣1分。</w:t>
            </w:r>
          </w:p>
          <w:p>
            <w:pPr>
              <w:widowControl/>
              <w:spacing w:line="560" w:lineRule="atLeast"/>
              <w:jc w:val="left"/>
              <w:rPr>
                <w:rFonts w:ascii="宋体" w:hAnsi="宋体" w:cs="宋体"/>
                <w:kern w:val="0"/>
                <w:sz w:val="24"/>
              </w:rPr>
            </w:pPr>
            <w:r>
              <w:rPr>
                <w:rFonts w:hint="eastAsia" w:ascii="宋体" w:hAnsi="宋体" w:cs="宋体"/>
                <w:kern w:val="0"/>
                <w:sz w:val="24"/>
              </w:rPr>
              <w:t>2.未设置重点区域、路段驻守管理的不得分；设置重点驻守未有明显管理效果的扣1分。</w:t>
            </w:r>
          </w:p>
          <w:p>
            <w:pPr>
              <w:widowControl/>
              <w:spacing w:line="560" w:lineRule="atLeast"/>
              <w:jc w:val="left"/>
              <w:rPr>
                <w:rFonts w:ascii="宋体" w:hAnsi="宋体" w:cs="宋体"/>
                <w:sz w:val="24"/>
              </w:rPr>
            </w:pPr>
            <w:r>
              <w:rPr>
                <w:rFonts w:hint="eastAsia" w:ascii="宋体" w:hAnsi="宋体" w:cs="宋体"/>
                <w:kern w:val="0"/>
                <w:sz w:val="24"/>
              </w:rPr>
              <w:t>3.未及时收回并维修或更换有故障的互联网租赁自行车的扣1分；未对驶入禁行区域的车辆采取断电措施不得分。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785" w:type="dxa"/>
            <w:vMerge w:val="continue"/>
          </w:tcPr>
          <w:p>
            <w:pPr>
              <w:widowControl/>
              <w:spacing w:line="560" w:lineRule="atLeast"/>
              <w:rPr>
                <w:rFonts w:ascii="宋体" w:hAnsi="宋体" w:cs="宋体"/>
                <w:kern w:val="0"/>
                <w:sz w:val="24"/>
              </w:rPr>
            </w:pPr>
          </w:p>
        </w:tc>
        <w:tc>
          <w:tcPr>
            <w:tcW w:w="187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应急情况处置</w:t>
            </w:r>
          </w:p>
          <w:p>
            <w:pPr>
              <w:widowControl/>
              <w:spacing w:line="560" w:lineRule="atLeast"/>
              <w:jc w:val="center"/>
              <w:rPr>
                <w:rFonts w:ascii="宋体" w:hAnsi="宋体" w:cs="宋体"/>
                <w:kern w:val="0"/>
                <w:sz w:val="24"/>
              </w:rPr>
            </w:pPr>
            <w:r>
              <w:rPr>
                <w:rFonts w:hint="eastAsia" w:ascii="宋体" w:hAnsi="宋体" w:cs="宋体"/>
                <w:kern w:val="0"/>
                <w:sz w:val="24"/>
              </w:rPr>
              <w:t>（5分）</w:t>
            </w:r>
          </w:p>
        </w:tc>
        <w:tc>
          <w:tcPr>
            <w:tcW w:w="6885"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1.企业应建立应对极端天气、重大活动、重要节假日及其他危及安全情况的应急保障预案，做好相关人员、设备、资源和技术等组织准备，并定期进行培训和演练。</w:t>
            </w:r>
          </w:p>
          <w:p>
            <w:pPr>
              <w:widowControl/>
              <w:spacing w:line="560" w:lineRule="atLeast"/>
              <w:jc w:val="left"/>
              <w:rPr>
                <w:rFonts w:ascii="宋体" w:hAnsi="宋体" w:cs="宋体"/>
                <w:kern w:val="0"/>
                <w:sz w:val="24"/>
              </w:rPr>
            </w:pPr>
            <w:r>
              <w:rPr>
                <w:rFonts w:hint="eastAsia" w:ascii="宋体" w:hAnsi="宋体" w:cs="宋体"/>
                <w:kern w:val="0"/>
                <w:sz w:val="24"/>
              </w:rPr>
              <w:t>2.企业在发现或接到车辆及设施遭到破坏或发生交通事故等事件时，及时赶赴现场，妥善处理。</w:t>
            </w:r>
          </w:p>
          <w:p>
            <w:pPr>
              <w:widowControl/>
              <w:spacing w:line="560" w:lineRule="atLeast"/>
              <w:jc w:val="left"/>
              <w:rPr>
                <w:rFonts w:ascii="宋体" w:hAnsi="宋体" w:cs="宋体"/>
                <w:sz w:val="24"/>
              </w:rPr>
            </w:pPr>
            <w:r>
              <w:rPr>
                <w:rFonts w:hint="eastAsia" w:ascii="宋体" w:hAnsi="宋体" w:cs="宋体"/>
                <w:kern w:val="0"/>
                <w:sz w:val="24"/>
              </w:rPr>
              <w:t>3.企业发现或接到相关部门告知的车辆大量堆积等信息后，在相关部门规定的时间内清运完毕。</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未制定应急预案，或未开展相关培训，演练的，</w:t>
            </w:r>
          </w:p>
          <w:p>
            <w:pPr>
              <w:widowControl/>
              <w:spacing w:line="560" w:lineRule="atLeast"/>
              <w:jc w:val="left"/>
              <w:rPr>
                <w:rFonts w:ascii="宋体" w:hAnsi="宋体" w:cs="宋体"/>
                <w:kern w:val="0"/>
                <w:sz w:val="24"/>
              </w:rPr>
            </w:pPr>
            <w:r>
              <w:rPr>
                <w:rFonts w:hint="eastAsia" w:ascii="宋体" w:hAnsi="宋体" w:cs="宋体"/>
                <w:kern w:val="0"/>
                <w:sz w:val="24"/>
              </w:rPr>
              <w:t>本项不得分；在接到相关部门通知后，未能及时赶赴现场并妥善处置及未及时清运堆积互联网租赁自行车的，一次扣3分。扣完本项分值为止。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4" w:hRule="atLeast"/>
          <w:jc w:val="center"/>
        </w:trPr>
        <w:tc>
          <w:tcPr>
            <w:tcW w:w="178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科技化监管</w:t>
            </w:r>
          </w:p>
          <w:p>
            <w:pPr>
              <w:widowControl/>
              <w:spacing w:line="560" w:lineRule="atLeast"/>
              <w:jc w:val="center"/>
              <w:rPr>
                <w:rFonts w:ascii="宋体" w:hAnsi="宋体" w:cs="宋体"/>
                <w:kern w:val="0"/>
                <w:sz w:val="24"/>
              </w:rPr>
            </w:pPr>
            <w:r>
              <w:rPr>
                <w:rFonts w:hint="eastAsia" w:ascii="宋体" w:hAnsi="宋体" w:cs="宋体"/>
                <w:kern w:val="0"/>
                <w:sz w:val="24"/>
              </w:rPr>
              <w:t>（8分）</w:t>
            </w:r>
          </w:p>
        </w:tc>
        <w:tc>
          <w:tcPr>
            <w:tcW w:w="8760" w:type="dxa"/>
            <w:gridSpan w:val="2"/>
            <w:vAlign w:val="center"/>
          </w:tcPr>
          <w:p>
            <w:pPr>
              <w:widowControl/>
              <w:spacing w:line="560" w:lineRule="atLeast"/>
              <w:jc w:val="left"/>
              <w:rPr>
                <w:rFonts w:ascii="宋体" w:hAnsi="宋体" w:cs="宋体"/>
                <w:kern w:val="0"/>
                <w:sz w:val="24"/>
              </w:rPr>
            </w:pPr>
            <w:r>
              <w:rPr>
                <w:rFonts w:hint="eastAsia" w:ascii="宋体" w:hAnsi="宋体" w:cs="宋体"/>
                <w:kern w:val="0"/>
                <w:sz w:val="24"/>
              </w:rPr>
              <w:t>数据接入准确性与完整性，故障响应且解决及时性。</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按照市城管部门要求将数据接入指定的监管服务平台，抽查实际投放车辆与监管平台接入备案车辆数据一致性，数据接入不及时、缺失或数据不准确的，每出现一次扣除4分；出现数据接口中断等数据传输质量问题时，企业响应且解决不及时的，每出现一次扣除2分。工单处理不及时的，每一次扣0.5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7" w:hRule="atLeast"/>
          <w:jc w:val="center"/>
        </w:trPr>
        <w:tc>
          <w:tcPr>
            <w:tcW w:w="1785" w:type="dxa"/>
            <w:vMerge w:val="restart"/>
            <w:vAlign w:val="center"/>
          </w:tcPr>
          <w:p>
            <w:pPr>
              <w:widowControl/>
              <w:spacing w:line="560" w:lineRule="atLeast"/>
              <w:jc w:val="center"/>
              <w:rPr>
                <w:rFonts w:ascii="宋体" w:hAnsi="宋体" w:cs="宋体"/>
                <w:kern w:val="0"/>
                <w:sz w:val="24"/>
              </w:rPr>
            </w:pPr>
            <w:r>
              <w:rPr>
                <w:rFonts w:hint="eastAsia" w:ascii="宋体" w:hAnsi="宋体" w:cs="宋体"/>
                <w:kern w:val="0"/>
                <w:sz w:val="24"/>
              </w:rPr>
              <w:t>停放秩序管理（17分）</w:t>
            </w:r>
          </w:p>
        </w:tc>
        <w:tc>
          <w:tcPr>
            <w:tcW w:w="187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停放秩序管理考核（12分）</w:t>
            </w:r>
          </w:p>
        </w:tc>
        <w:tc>
          <w:tcPr>
            <w:tcW w:w="6885"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1.在施划有停放点位的区域，车辆应停放在该点位内，要求首尾一致、整齐划一、无倒伏现象；</w:t>
            </w:r>
          </w:p>
          <w:p>
            <w:pPr>
              <w:widowControl/>
              <w:spacing w:line="560" w:lineRule="atLeast"/>
              <w:jc w:val="left"/>
              <w:rPr>
                <w:rFonts w:ascii="宋体" w:hAnsi="宋体" w:cs="宋体"/>
                <w:kern w:val="0"/>
                <w:sz w:val="24"/>
              </w:rPr>
            </w:pPr>
            <w:r>
              <w:rPr>
                <w:rFonts w:hint="eastAsia" w:ascii="宋体" w:hAnsi="宋体" w:cs="宋体"/>
                <w:kern w:val="0"/>
                <w:sz w:val="24"/>
              </w:rPr>
              <w:t>2.在允许停放区位不得超量超范围停放；</w:t>
            </w:r>
          </w:p>
          <w:p>
            <w:pPr>
              <w:widowControl/>
              <w:spacing w:line="560" w:lineRule="atLeast"/>
              <w:jc w:val="left"/>
              <w:rPr>
                <w:rFonts w:ascii="宋体" w:hAnsi="宋体" w:cs="宋体"/>
                <w:kern w:val="0"/>
                <w:sz w:val="24"/>
              </w:rPr>
            </w:pPr>
            <w:r>
              <w:rPr>
                <w:rFonts w:hint="eastAsia" w:ascii="宋体" w:hAnsi="宋体" w:cs="宋体"/>
                <w:kern w:val="0"/>
                <w:sz w:val="24"/>
              </w:rPr>
              <w:t>3.不得在影响正常通行、商家店铺正常经营的区域内停放；</w:t>
            </w:r>
          </w:p>
          <w:p>
            <w:pPr>
              <w:widowControl/>
              <w:spacing w:line="560" w:lineRule="atLeast"/>
              <w:jc w:val="left"/>
              <w:rPr>
                <w:rFonts w:ascii="宋体" w:hAnsi="宋体" w:cs="宋体"/>
                <w:kern w:val="0"/>
                <w:sz w:val="24"/>
              </w:rPr>
            </w:pPr>
            <w:r>
              <w:rPr>
                <w:rFonts w:hint="eastAsia" w:ascii="宋体" w:hAnsi="宋体" w:cs="宋体"/>
                <w:kern w:val="0"/>
                <w:sz w:val="24"/>
              </w:rPr>
              <w:t>4.不得在宽度低于2.5米的人行道上停放；</w:t>
            </w:r>
          </w:p>
          <w:p>
            <w:pPr>
              <w:widowControl/>
              <w:spacing w:line="560" w:lineRule="atLeast"/>
              <w:jc w:val="left"/>
              <w:rPr>
                <w:rFonts w:ascii="宋体" w:hAnsi="宋体" w:cs="宋体"/>
                <w:kern w:val="0"/>
                <w:sz w:val="24"/>
              </w:rPr>
            </w:pPr>
            <w:r>
              <w:rPr>
                <w:rFonts w:hint="eastAsia" w:ascii="宋体" w:hAnsi="宋体" w:cs="宋体"/>
                <w:kern w:val="0"/>
                <w:sz w:val="24"/>
              </w:rPr>
              <w:t>5.不在影响消防安全的区域及人行道盲道上停放；</w:t>
            </w:r>
          </w:p>
          <w:p>
            <w:pPr>
              <w:widowControl/>
              <w:spacing w:line="560" w:lineRule="atLeast"/>
              <w:jc w:val="left"/>
              <w:rPr>
                <w:rFonts w:ascii="宋体" w:hAnsi="宋体" w:cs="宋体"/>
                <w:kern w:val="0"/>
                <w:sz w:val="24"/>
              </w:rPr>
            </w:pPr>
            <w:r>
              <w:rPr>
                <w:rFonts w:hint="eastAsia" w:ascii="宋体" w:hAnsi="宋体" w:cs="宋体"/>
                <w:kern w:val="0"/>
                <w:sz w:val="24"/>
              </w:rPr>
              <w:t>6.禁止在政府确定的非机动车禁停区内投放和停放。</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车辆停放应符合规定的要求，每出现一项不符合要求的扣2分，扣完本项分值为止。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Merge w:val="continue"/>
          </w:tcPr>
          <w:p>
            <w:pPr>
              <w:widowControl/>
              <w:spacing w:line="560" w:lineRule="atLeast"/>
              <w:jc w:val="left"/>
              <w:rPr>
                <w:rFonts w:ascii="宋体" w:hAnsi="宋体" w:cs="宋体"/>
                <w:kern w:val="0"/>
                <w:sz w:val="24"/>
              </w:rPr>
            </w:pPr>
          </w:p>
        </w:tc>
        <w:tc>
          <w:tcPr>
            <w:tcW w:w="8760" w:type="dxa"/>
            <w:gridSpan w:val="2"/>
            <w:vAlign w:val="center"/>
          </w:tcPr>
          <w:p>
            <w:pPr>
              <w:widowControl/>
              <w:spacing w:line="560" w:lineRule="atLeast"/>
              <w:jc w:val="left"/>
              <w:rPr>
                <w:rFonts w:ascii="宋体" w:hAnsi="宋体" w:cs="宋体"/>
                <w:kern w:val="0"/>
                <w:sz w:val="24"/>
              </w:rPr>
            </w:pPr>
            <w:r>
              <w:rPr>
                <w:rFonts w:hint="eastAsia" w:ascii="宋体" w:hAnsi="宋体" w:cs="宋体"/>
                <w:kern w:val="0"/>
                <w:sz w:val="24"/>
              </w:rPr>
              <w:t>对交警、城管部门等部门通知的问题点位及调度要求处理的及时性、有效性。（5分）</w:t>
            </w:r>
          </w:p>
        </w:tc>
        <w:tc>
          <w:tcPr>
            <w:tcW w:w="5146" w:type="dxa"/>
          </w:tcPr>
          <w:p>
            <w:pPr>
              <w:widowControl/>
              <w:spacing w:line="560" w:lineRule="atLeast"/>
              <w:jc w:val="left"/>
              <w:rPr>
                <w:rFonts w:ascii="宋体" w:hAnsi="宋体" w:cs="宋体"/>
                <w:kern w:val="0"/>
                <w:sz w:val="24"/>
              </w:rPr>
            </w:pPr>
            <w:r>
              <w:rPr>
                <w:rFonts w:hint="eastAsia" w:ascii="宋体" w:hAnsi="宋体" w:cs="宋体"/>
                <w:kern w:val="0"/>
                <w:sz w:val="24"/>
              </w:rPr>
              <w:t>未及时按要求处理的，每次扣2.5分，扣完本项分值为止。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785" w:type="dxa"/>
          </w:tcPr>
          <w:p>
            <w:pPr>
              <w:widowControl/>
              <w:spacing w:line="560" w:lineRule="atLeast"/>
              <w:rPr>
                <w:rFonts w:ascii="宋体" w:hAnsi="宋体" w:cs="宋体"/>
                <w:kern w:val="0"/>
                <w:sz w:val="24"/>
              </w:rPr>
            </w:pPr>
            <w:r>
              <w:rPr>
                <w:rFonts w:hint="eastAsia" w:ascii="宋体" w:hAnsi="宋体" w:cs="宋体"/>
                <w:kern w:val="0"/>
                <w:sz w:val="24"/>
              </w:rPr>
              <w:t>政府部门或媒体通报批评</w:t>
            </w:r>
          </w:p>
          <w:p>
            <w:pPr>
              <w:widowControl/>
              <w:spacing w:line="560" w:lineRule="atLeast"/>
              <w:jc w:val="center"/>
              <w:rPr>
                <w:rFonts w:ascii="宋体" w:hAnsi="宋体" w:cs="宋体"/>
                <w:kern w:val="0"/>
                <w:sz w:val="24"/>
              </w:rPr>
            </w:pPr>
            <w:r>
              <w:rPr>
                <w:rFonts w:hint="eastAsia" w:ascii="宋体" w:hAnsi="宋体" w:cs="宋体"/>
                <w:kern w:val="0"/>
                <w:sz w:val="24"/>
              </w:rPr>
              <w:t>（15分）</w:t>
            </w:r>
          </w:p>
        </w:tc>
        <w:tc>
          <w:tcPr>
            <w:tcW w:w="8760" w:type="dxa"/>
            <w:gridSpan w:val="2"/>
            <w:vAlign w:val="center"/>
          </w:tcPr>
          <w:p>
            <w:pPr>
              <w:widowControl/>
              <w:spacing w:line="560" w:lineRule="atLeast"/>
              <w:jc w:val="left"/>
              <w:rPr>
                <w:rFonts w:ascii="宋体" w:hAnsi="宋体" w:cs="宋体"/>
                <w:kern w:val="0"/>
                <w:sz w:val="24"/>
              </w:rPr>
            </w:pPr>
            <w:r>
              <w:rPr>
                <w:rFonts w:hint="eastAsia" w:ascii="宋体" w:hAnsi="宋体" w:cs="宋体"/>
                <w:kern w:val="0"/>
                <w:sz w:val="24"/>
              </w:rPr>
              <w:t>本次考核时间内受到相关部门或媒体通报批评的。</w:t>
            </w:r>
          </w:p>
        </w:tc>
        <w:tc>
          <w:tcPr>
            <w:tcW w:w="5146" w:type="dxa"/>
            <w:vAlign w:val="center"/>
          </w:tcPr>
          <w:p>
            <w:pPr>
              <w:widowControl/>
              <w:spacing w:line="560" w:lineRule="atLeast"/>
              <w:rPr>
                <w:rFonts w:ascii="宋体" w:hAnsi="宋体" w:cs="宋体"/>
                <w:kern w:val="0"/>
                <w:sz w:val="24"/>
              </w:rPr>
            </w:pPr>
            <w:r>
              <w:rPr>
                <w:rFonts w:hint="eastAsia" w:ascii="宋体" w:hAnsi="宋体" w:cs="宋体"/>
                <w:kern w:val="0"/>
                <w:sz w:val="24"/>
              </w:rPr>
              <w:t>每次扣5分，扣完15分值为止。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8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用户满意度  （2分）</w:t>
            </w:r>
          </w:p>
        </w:tc>
        <w:tc>
          <w:tcPr>
            <w:tcW w:w="8760" w:type="dxa"/>
            <w:gridSpan w:val="2"/>
            <w:vAlign w:val="center"/>
          </w:tcPr>
          <w:p>
            <w:pPr>
              <w:widowControl/>
              <w:spacing w:line="560" w:lineRule="atLeast"/>
              <w:jc w:val="center"/>
              <w:rPr>
                <w:rFonts w:ascii="宋体" w:hAnsi="宋体" w:cs="宋体"/>
                <w:kern w:val="0"/>
                <w:sz w:val="24"/>
              </w:rPr>
            </w:pPr>
            <w:r>
              <w:rPr>
                <w:rFonts w:hint="eastAsia" w:ascii="宋体" w:hAnsi="宋体" w:cs="宋体"/>
                <w:kern w:val="0"/>
                <w:sz w:val="24"/>
              </w:rPr>
              <w:t>企业服务（2分）</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采用随机采访方式，每个企业抽10个用户，对企业服务进行评价，满意的得2分；不满意的得1分；以平均得分为准。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85" w:type="dxa"/>
            <w:vMerge w:val="restart"/>
            <w:vAlign w:val="center"/>
          </w:tcPr>
          <w:p>
            <w:pPr>
              <w:widowControl/>
              <w:spacing w:line="560" w:lineRule="atLeast"/>
              <w:jc w:val="center"/>
              <w:rPr>
                <w:rFonts w:ascii="宋体" w:hAnsi="宋体" w:cs="宋体"/>
                <w:kern w:val="0"/>
                <w:sz w:val="24"/>
              </w:rPr>
            </w:pPr>
            <w:r>
              <w:rPr>
                <w:rFonts w:hint="eastAsia" w:ascii="宋体" w:hAnsi="宋体" w:cs="宋体"/>
                <w:kern w:val="0"/>
                <w:sz w:val="24"/>
              </w:rPr>
              <w:t>随机抽查    （4分）</w:t>
            </w:r>
          </w:p>
        </w:tc>
        <w:tc>
          <w:tcPr>
            <w:tcW w:w="8760" w:type="dxa"/>
            <w:gridSpan w:val="2"/>
            <w:vAlign w:val="center"/>
          </w:tcPr>
          <w:p>
            <w:pPr>
              <w:widowControl/>
              <w:spacing w:line="560" w:lineRule="atLeast"/>
              <w:jc w:val="center"/>
              <w:rPr>
                <w:rFonts w:ascii="宋体" w:hAnsi="宋体" w:cs="宋体"/>
                <w:kern w:val="0"/>
                <w:sz w:val="24"/>
              </w:rPr>
            </w:pPr>
            <w:r>
              <w:rPr>
                <w:rFonts w:hint="eastAsia" w:ascii="宋体" w:hAnsi="宋体" w:cs="宋体"/>
                <w:kern w:val="0"/>
                <w:sz w:val="24"/>
              </w:rPr>
              <w:t>热线服务（2分）</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响铃50秒内未接听的，每出现一次扣1分，扣完本项分值为止。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5" w:type="dxa"/>
            <w:vMerge w:val="continue"/>
            <w:vAlign w:val="center"/>
          </w:tcPr>
          <w:p>
            <w:pPr>
              <w:widowControl/>
              <w:spacing w:line="560" w:lineRule="atLeast"/>
              <w:jc w:val="center"/>
              <w:rPr>
                <w:rFonts w:ascii="宋体" w:hAnsi="宋体" w:cs="宋体"/>
                <w:kern w:val="0"/>
                <w:sz w:val="24"/>
              </w:rPr>
            </w:pPr>
          </w:p>
        </w:tc>
        <w:tc>
          <w:tcPr>
            <w:tcW w:w="8760" w:type="dxa"/>
            <w:gridSpan w:val="2"/>
            <w:vAlign w:val="center"/>
          </w:tcPr>
          <w:p>
            <w:pPr>
              <w:widowControl/>
              <w:spacing w:line="560" w:lineRule="atLeast"/>
              <w:jc w:val="center"/>
              <w:rPr>
                <w:rFonts w:ascii="宋体" w:hAnsi="宋体" w:cs="宋体"/>
                <w:kern w:val="0"/>
                <w:sz w:val="24"/>
              </w:rPr>
            </w:pPr>
            <w:r>
              <w:rPr>
                <w:rFonts w:hint="eastAsia" w:ascii="宋体" w:hAnsi="宋体" w:cs="宋体"/>
                <w:kern w:val="0"/>
                <w:sz w:val="24"/>
              </w:rPr>
              <w:t>在线服务（2分）</w:t>
            </w:r>
          </w:p>
        </w:tc>
        <w:tc>
          <w:tcPr>
            <w:tcW w:w="5146" w:type="dxa"/>
            <w:vAlign w:val="center"/>
          </w:tcPr>
          <w:p>
            <w:pPr>
              <w:widowControl/>
              <w:spacing w:line="560" w:lineRule="atLeast"/>
              <w:jc w:val="left"/>
              <w:rPr>
                <w:rFonts w:ascii="宋体" w:hAnsi="宋体" w:cs="宋体"/>
                <w:kern w:val="0"/>
                <w:sz w:val="24"/>
              </w:rPr>
            </w:pPr>
            <w:r>
              <w:rPr>
                <w:rFonts w:hint="eastAsia" w:ascii="宋体" w:hAnsi="宋体" w:cs="宋体"/>
                <w:kern w:val="0"/>
                <w:sz w:val="24"/>
              </w:rPr>
              <w:t>1分钟内未进行在线信息回复的，每出现一次扣1分，扣完本项分值为止。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5691" w:type="dxa"/>
            <w:gridSpan w:val="4"/>
            <w:vAlign w:val="center"/>
          </w:tcPr>
          <w:p>
            <w:pPr>
              <w:widowControl/>
              <w:spacing w:line="560" w:lineRule="atLeast"/>
              <w:jc w:val="left"/>
              <w:rPr>
                <w:rFonts w:ascii="宋体" w:hAnsi="宋体" w:cs="宋体"/>
                <w:kern w:val="0"/>
                <w:sz w:val="24"/>
              </w:rPr>
            </w:pPr>
            <w:r>
              <w:rPr>
                <w:rFonts w:hint="eastAsia" w:ascii="宋体" w:hAnsi="宋体" w:cs="宋体"/>
                <w:b/>
                <w:bCs/>
                <w:kern w:val="0"/>
                <w:sz w:val="24"/>
              </w:rPr>
              <w:t>以下内容为加分项目（15分）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785" w:type="dxa"/>
            <w:vMerge w:val="restart"/>
            <w:vAlign w:val="center"/>
          </w:tcPr>
          <w:p>
            <w:pPr>
              <w:widowControl/>
              <w:spacing w:line="560" w:lineRule="atLeast"/>
              <w:jc w:val="center"/>
              <w:rPr>
                <w:rFonts w:ascii="宋体" w:hAnsi="宋体" w:cs="宋体"/>
                <w:kern w:val="0"/>
                <w:sz w:val="24"/>
              </w:rPr>
            </w:pPr>
            <w:r>
              <w:rPr>
                <w:rFonts w:hint="eastAsia" w:ascii="宋体" w:hAnsi="宋体" w:cs="宋体"/>
                <w:kern w:val="0"/>
                <w:sz w:val="24"/>
              </w:rPr>
              <w:t>政府部门表彰</w:t>
            </w:r>
          </w:p>
          <w:p>
            <w:pPr>
              <w:widowControl/>
              <w:spacing w:line="560" w:lineRule="atLeast"/>
              <w:jc w:val="center"/>
              <w:rPr>
                <w:rFonts w:ascii="宋体" w:hAnsi="宋体" w:cs="宋体"/>
                <w:kern w:val="0"/>
                <w:sz w:val="24"/>
              </w:rPr>
            </w:pPr>
            <w:r>
              <w:rPr>
                <w:rFonts w:hint="eastAsia" w:ascii="宋体" w:hAnsi="宋体" w:cs="宋体"/>
                <w:kern w:val="0"/>
                <w:sz w:val="24"/>
              </w:rPr>
              <w:t>（5分）</w:t>
            </w:r>
          </w:p>
        </w:tc>
        <w:tc>
          <w:tcPr>
            <w:tcW w:w="8760" w:type="dxa"/>
            <w:gridSpan w:val="2"/>
            <w:vAlign w:val="center"/>
          </w:tcPr>
          <w:p>
            <w:pPr>
              <w:widowControl/>
              <w:spacing w:line="560" w:lineRule="atLeast"/>
              <w:jc w:val="left"/>
              <w:rPr>
                <w:rFonts w:ascii="宋体" w:hAnsi="宋体" w:cs="宋体"/>
                <w:kern w:val="0"/>
                <w:sz w:val="24"/>
              </w:rPr>
            </w:pPr>
            <w:r>
              <w:rPr>
                <w:rFonts w:hint="eastAsia" w:ascii="宋体" w:hAnsi="宋体" w:cs="宋体"/>
                <w:kern w:val="0"/>
                <w:sz w:val="24"/>
              </w:rPr>
              <w:t>本年度内获得省、部级及以上荣誉称号或者表彰的。</w:t>
            </w:r>
          </w:p>
        </w:tc>
        <w:tc>
          <w:tcPr>
            <w:tcW w:w="5146" w:type="dxa"/>
            <w:vAlign w:val="center"/>
          </w:tcPr>
          <w:p>
            <w:pPr>
              <w:widowControl/>
              <w:spacing w:line="560" w:lineRule="atLeast"/>
              <w:rPr>
                <w:rFonts w:ascii="宋体" w:hAnsi="宋体" w:cs="宋体"/>
                <w:kern w:val="0"/>
                <w:sz w:val="24"/>
              </w:rPr>
            </w:pPr>
            <w:r>
              <w:rPr>
                <w:rFonts w:hint="eastAsia" w:ascii="宋体" w:hAnsi="宋体" w:cs="宋体"/>
                <w:kern w:val="0"/>
                <w:sz w:val="24"/>
              </w:rPr>
              <w:t>每次加2分，以最高层级计分，各种奖励累计加分总和不超过5分。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785" w:type="dxa"/>
            <w:vMerge w:val="continue"/>
          </w:tcPr>
          <w:p>
            <w:pPr>
              <w:widowControl/>
              <w:spacing w:line="560" w:lineRule="atLeast"/>
              <w:jc w:val="center"/>
              <w:rPr>
                <w:rFonts w:ascii="宋体" w:hAnsi="宋体" w:cs="宋体"/>
                <w:kern w:val="0"/>
                <w:sz w:val="24"/>
              </w:rPr>
            </w:pPr>
          </w:p>
        </w:tc>
        <w:tc>
          <w:tcPr>
            <w:tcW w:w="8760" w:type="dxa"/>
            <w:gridSpan w:val="2"/>
            <w:vAlign w:val="center"/>
          </w:tcPr>
          <w:p>
            <w:pPr>
              <w:widowControl/>
              <w:spacing w:line="560" w:lineRule="atLeast"/>
              <w:jc w:val="left"/>
              <w:rPr>
                <w:rFonts w:ascii="宋体" w:hAnsi="宋体" w:cs="宋体"/>
                <w:kern w:val="0"/>
                <w:sz w:val="24"/>
              </w:rPr>
            </w:pPr>
            <w:r>
              <w:rPr>
                <w:rFonts w:hint="eastAsia" w:ascii="宋体" w:hAnsi="宋体" w:cs="宋体"/>
                <w:kern w:val="0"/>
                <w:sz w:val="24"/>
              </w:rPr>
              <w:t>本年度内获得市级荣誉称号或者表彰的。</w:t>
            </w:r>
          </w:p>
        </w:tc>
        <w:tc>
          <w:tcPr>
            <w:tcW w:w="5146" w:type="dxa"/>
            <w:vAlign w:val="center"/>
          </w:tcPr>
          <w:p>
            <w:pPr>
              <w:widowControl/>
              <w:spacing w:line="560" w:lineRule="atLeast"/>
              <w:rPr>
                <w:rFonts w:ascii="宋体" w:hAnsi="宋体" w:cs="宋体"/>
                <w:kern w:val="0"/>
                <w:sz w:val="24"/>
              </w:rPr>
            </w:pPr>
            <w:r>
              <w:rPr>
                <w:rFonts w:hint="eastAsia" w:ascii="宋体" w:hAnsi="宋体" w:cs="宋体"/>
                <w:kern w:val="0"/>
                <w:sz w:val="24"/>
              </w:rPr>
              <w:t>每次加1分，以最高层级计分，各种奖励累计加分总和不超过5分。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785" w:type="dxa"/>
            <w:vMerge w:val="continue"/>
          </w:tcPr>
          <w:p>
            <w:pPr>
              <w:widowControl/>
              <w:spacing w:line="560" w:lineRule="atLeast"/>
              <w:jc w:val="center"/>
              <w:rPr>
                <w:rFonts w:ascii="宋体" w:hAnsi="宋体" w:cs="宋体"/>
                <w:kern w:val="0"/>
                <w:sz w:val="24"/>
              </w:rPr>
            </w:pPr>
          </w:p>
        </w:tc>
        <w:tc>
          <w:tcPr>
            <w:tcW w:w="8760" w:type="dxa"/>
            <w:gridSpan w:val="2"/>
            <w:vAlign w:val="center"/>
          </w:tcPr>
          <w:p>
            <w:pPr>
              <w:widowControl/>
              <w:spacing w:line="560" w:lineRule="atLeast"/>
              <w:jc w:val="left"/>
              <w:rPr>
                <w:rFonts w:ascii="宋体" w:hAnsi="宋体" w:cs="宋体"/>
                <w:kern w:val="0"/>
                <w:sz w:val="24"/>
              </w:rPr>
            </w:pPr>
            <w:r>
              <w:rPr>
                <w:rFonts w:hint="eastAsia" w:ascii="宋体" w:hAnsi="宋体" w:cs="宋体"/>
                <w:kern w:val="0"/>
                <w:sz w:val="24"/>
              </w:rPr>
              <w:t>本年度内获得区级荣誉称号或者表彰的。</w:t>
            </w:r>
          </w:p>
        </w:tc>
        <w:tc>
          <w:tcPr>
            <w:tcW w:w="5146" w:type="dxa"/>
            <w:vAlign w:val="center"/>
          </w:tcPr>
          <w:p>
            <w:pPr>
              <w:widowControl/>
              <w:spacing w:line="560" w:lineRule="atLeast"/>
              <w:rPr>
                <w:rFonts w:ascii="宋体" w:hAnsi="宋体" w:cs="宋体"/>
                <w:kern w:val="0"/>
                <w:sz w:val="24"/>
              </w:rPr>
            </w:pPr>
            <w:r>
              <w:rPr>
                <w:rFonts w:hint="eastAsia" w:ascii="宋体" w:hAnsi="宋体" w:cs="宋体"/>
                <w:kern w:val="0"/>
                <w:sz w:val="24"/>
              </w:rPr>
              <w:t>每次加0.5分，以最高层级计分，各种奖励累计加分总和不超过5分。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85" w:type="dxa"/>
            <w:vAlign w:val="center"/>
          </w:tcPr>
          <w:p>
            <w:pPr>
              <w:widowControl/>
              <w:spacing w:line="560" w:lineRule="atLeast"/>
              <w:jc w:val="center"/>
              <w:rPr>
                <w:rFonts w:ascii="宋体" w:hAnsi="宋体" w:cs="宋体"/>
                <w:kern w:val="0"/>
                <w:sz w:val="24"/>
              </w:rPr>
            </w:pPr>
            <w:r>
              <w:rPr>
                <w:rFonts w:hint="eastAsia" w:ascii="宋体" w:hAnsi="宋体" w:cs="宋体"/>
                <w:kern w:val="0"/>
                <w:sz w:val="24"/>
              </w:rPr>
              <w:t>社会公益活动</w:t>
            </w:r>
          </w:p>
          <w:p>
            <w:pPr>
              <w:widowControl/>
              <w:spacing w:line="560" w:lineRule="atLeast"/>
              <w:jc w:val="center"/>
              <w:rPr>
                <w:rFonts w:ascii="宋体" w:hAnsi="宋体" w:cs="宋体"/>
                <w:kern w:val="0"/>
                <w:sz w:val="24"/>
              </w:rPr>
            </w:pPr>
            <w:r>
              <w:rPr>
                <w:rFonts w:hint="eastAsia" w:ascii="宋体" w:hAnsi="宋体" w:cs="宋体"/>
                <w:kern w:val="0"/>
                <w:sz w:val="24"/>
              </w:rPr>
              <w:t>（5分）</w:t>
            </w:r>
          </w:p>
        </w:tc>
        <w:tc>
          <w:tcPr>
            <w:tcW w:w="8760" w:type="dxa"/>
            <w:gridSpan w:val="2"/>
            <w:vAlign w:val="center"/>
          </w:tcPr>
          <w:p>
            <w:pPr>
              <w:widowControl/>
              <w:spacing w:line="560" w:lineRule="atLeast"/>
              <w:jc w:val="left"/>
              <w:rPr>
                <w:rFonts w:ascii="宋体" w:hAnsi="宋体" w:cs="宋体"/>
                <w:kern w:val="0"/>
                <w:sz w:val="24"/>
              </w:rPr>
            </w:pPr>
            <w:r>
              <w:rPr>
                <w:rFonts w:hint="eastAsia" w:ascii="宋体" w:hAnsi="宋体" w:cs="宋体"/>
                <w:kern w:val="0"/>
                <w:sz w:val="24"/>
              </w:rPr>
              <w:t>本年度内配合政府完成工作，或积极组织参加抢险救灾、赈灾、救死扶伤、优质服务、捐赠、乡村振兴、城市更新、创建卫生城市、文明城市等具有较大社会影响的公益活动。</w:t>
            </w:r>
          </w:p>
        </w:tc>
        <w:tc>
          <w:tcPr>
            <w:tcW w:w="5146" w:type="dxa"/>
            <w:vAlign w:val="center"/>
          </w:tcPr>
          <w:p>
            <w:pPr>
              <w:widowControl/>
              <w:spacing w:line="560" w:lineRule="atLeast"/>
              <w:rPr>
                <w:rFonts w:ascii="宋体" w:hAnsi="宋体" w:cs="宋体"/>
                <w:kern w:val="0"/>
                <w:sz w:val="24"/>
              </w:rPr>
            </w:pPr>
            <w:r>
              <w:rPr>
                <w:rFonts w:hint="eastAsia" w:ascii="宋体" w:hAnsi="宋体" w:cs="宋体"/>
                <w:kern w:val="0"/>
                <w:sz w:val="24"/>
              </w:rPr>
              <w:t>每次加1分，累计加分总和不超过5分。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85" w:type="dxa"/>
            <w:vMerge w:val="restart"/>
            <w:vAlign w:val="center"/>
          </w:tcPr>
          <w:p>
            <w:pPr>
              <w:widowControl/>
              <w:spacing w:line="560" w:lineRule="atLeast"/>
              <w:jc w:val="center"/>
              <w:rPr>
                <w:rFonts w:ascii="宋体" w:hAnsi="宋体" w:cs="宋体"/>
                <w:kern w:val="0"/>
                <w:sz w:val="24"/>
              </w:rPr>
            </w:pPr>
            <w:r>
              <w:rPr>
                <w:rFonts w:hint="eastAsia" w:ascii="宋体" w:hAnsi="宋体" w:cs="宋体"/>
                <w:kern w:val="0"/>
                <w:sz w:val="24"/>
              </w:rPr>
              <w:t>科技创新</w:t>
            </w:r>
          </w:p>
          <w:p>
            <w:pPr>
              <w:widowControl/>
              <w:spacing w:line="560" w:lineRule="atLeast"/>
              <w:jc w:val="center"/>
              <w:rPr>
                <w:rFonts w:ascii="宋体" w:hAnsi="宋体" w:cs="宋体"/>
                <w:kern w:val="0"/>
                <w:sz w:val="24"/>
              </w:rPr>
            </w:pPr>
            <w:r>
              <w:rPr>
                <w:rFonts w:hint="eastAsia" w:ascii="宋体" w:hAnsi="宋体" w:cs="宋体"/>
                <w:kern w:val="0"/>
                <w:sz w:val="24"/>
              </w:rPr>
              <w:t>（5分）</w:t>
            </w:r>
          </w:p>
        </w:tc>
        <w:tc>
          <w:tcPr>
            <w:tcW w:w="8760" w:type="dxa"/>
            <w:gridSpan w:val="2"/>
            <w:vAlign w:val="center"/>
          </w:tcPr>
          <w:p>
            <w:pPr>
              <w:widowControl/>
              <w:spacing w:line="560" w:lineRule="atLeast"/>
              <w:jc w:val="left"/>
              <w:rPr>
                <w:rFonts w:ascii="宋体" w:hAnsi="宋体" w:cs="宋体"/>
                <w:kern w:val="0"/>
                <w:sz w:val="24"/>
              </w:rPr>
            </w:pPr>
            <w:r>
              <w:rPr>
                <w:rFonts w:hint="eastAsia" w:ascii="宋体" w:hAnsi="宋体" w:cs="宋体"/>
                <w:kern w:val="0"/>
                <w:sz w:val="24"/>
              </w:rPr>
              <w:t>本年度内研发创新科技，实现互联网租赁自行车行业技术应用发展，解决行业发展难点问题，取得较大的社会效益，并报行业主管部门认定。</w:t>
            </w:r>
          </w:p>
        </w:tc>
        <w:tc>
          <w:tcPr>
            <w:tcW w:w="5146" w:type="dxa"/>
            <w:vAlign w:val="center"/>
          </w:tcPr>
          <w:p>
            <w:pPr>
              <w:widowControl/>
              <w:spacing w:line="560" w:lineRule="atLeast"/>
              <w:rPr>
                <w:rFonts w:ascii="宋体" w:hAnsi="宋体" w:cs="宋体"/>
                <w:kern w:val="0"/>
                <w:sz w:val="24"/>
              </w:rPr>
            </w:pPr>
            <w:r>
              <w:rPr>
                <w:rFonts w:hint="eastAsia" w:ascii="宋体" w:hAnsi="宋体" w:cs="宋体"/>
                <w:kern w:val="0"/>
                <w:sz w:val="24"/>
              </w:rPr>
              <w:t>以行业主管部门会审认定为准，获得省、市级5分，区级3分，以最高级计分，累计加分总和不超过5分。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785" w:type="dxa"/>
            <w:vMerge w:val="continue"/>
            <w:vAlign w:val="center"/>
          </w:tcPr>
          <w:p>
            <w:pPr>
              <w:widowControl/>
              <w:spacing w:line="560" w:lineRule="atLeast"/>
              <w:rPr>
                <w:rFonts w:ascii="宋体" w:hAnsi="宋体" w:cs="宋体"/>
                <w:kern w:val="0"/>
                <w:sz w:val="24"/>
              </w:rPr>
            </w:pPr>
          </w:p>
        </w:tc>
        <w:tc>
          <w:tcPr>
            <w:tcW w:w="8760" w:type="dxa"/>
            <w:gridSpan w:val="2"/>
            <w:vAlign w:val="center"/>
          </w:tcPr>
          <w:p>
            <w:pPr>
              <w:widowControl/>
              <w:spacing w:line="560" w:lineRule="atLeast"/>
              <w:jc w:val="left"/>
              <w:rPr>
                <w:rFonts w:ascii="宋体" w:hAnsi="宋体" w:cs="宋体"/>
                <w:kern w:val="0"/>
                <w:sz w:val="24"/>
              </w:rPr>
            </w:pPr>
            <w:r>
              <w:rPr>
                <w:rFonts w:hint="eastAsia" w:ascii="宋体" w:hAnsi="宋体" w:cs="宋体"/>
                <w:kern w:val="0"/>
                <w:sz w:val="24"/>
              </w:rPr>
              <w:t>加强科技创新，推广新技术新装备应用。鼓励企业配置车辆后视镜、人脸识别及限重等功能</w:t>
            </w:r>
          </w:p>
        </w:tc>
        <w:tc>
          <w:tcPr>
            <w:tcW w:w="5146" w:type="dxa"/>
            <w:vAlign w:val="center"/>
          </w:tcPr>
          <w:p>
            <w:pPr>
              <w:widowControl/>
              <w:spacing w:line="560" w:lineRule="atLeast"/>
              <w:rPr>
                <w:rFonts w:ascii="宋体" w:hAnsi="宋体" w:cs="宋体"/>
                <w:kern w:val="0"/>
                <w:sz w:val="24"/>
              </w:rPr>
            </w:pPr>
            <w:r>
              <w:rPr>
                <w:rFonts w:hint="eastAsia" w:ascii="宋体" w:hAnsi="宋体" w:cs="宋体"/>
                <w:kern w:val="0"/>
                <w:sz w:val="24"/>
              </w:rPr>
              <w:t>每提供一个功能的证明材料加0.25分，至满分1分止</w:t>
            </w:r>
          </w:p>
        </w:tc>
      </w:tr>
    </w:tbl>
    <w:p>
      <w:pPr>
        <w:rPr>
          <w:rFonts w:eastAsia="仿宋_GB2312"/>
          <w:sz w:val="32"/>
          <w:szCs w:val="32"/>
        </w:rPr>
        <w:sectPr>
          <w:footerReference r:id="rId5" w:type="default"/>
          <w:pgSz w:w="16838" w:h="11906" w:orient="landscape"/>
          <w:pgMar w:top="1587" w:right="1905" w:bottom="1304" w:left="1701" w:header="851" w:footer="992" w:gutter="0"/>
          <w:cols w:space="0" w:num="1"/>
          <w:docGrid w:type="lines" w:linePitch="312" w:charSpace="0"/>
        </w:sectPr>
      </w:pPr>
    </w:p>
    <w:p>
      <w:pPr>
        <w:pStyle w:val="49"/>
        <w:spacing w:line="460" w:lineRule="exact"/>
        <w:ind w:firstLine="0" w:firstLineChars="0"/>
        <w:rPr>
          <w:rFonts w:eastAsia="仿宋_GB2312"/>
          <w:sz w:val="32"/>
          <w:szCs w:val="32"/>
        </w:rPr>
      </w:pPr>
    </w:p>
    <w:p>
      <w:pPr>
        <w:spacing w:line="1000" w:lineRule="exact"/>
        <w:outlineLvl w:val="1"/>
        <w:rPr>
          <w:rFonts w:eastAsia="仿宋_GB2312"/>
          <w:bCs/>
          <w:spacing w:val="6"/>
          <w:kern w:val="36"/>
          <w:sz w:val="32"/>
          <w:szCs w:val="32"/>
        </w:rPr>
      </w:pPr>
    </w:p>
    <w:p>
      <w:pPr>
        <w:spacing w:line="560" w:lineRule="exact"/>
        <w:outlineLvl w:val="1"/>
        <w:rPr>
          <w:rFonts w:eastAsia="仿宋_GB2312"/>
          <w:bCs/>
          <w:spacing w:val="6"/>
          <w:kern w:val="36"/>
          <w:sz w:val="32"/>
          <w:szCs w:val="32"/>
        </w:rPr>
      </w:pPr>
    </w:p>
    <w:p>
      <w:pPr>
        <w:spacing w:line="560" w:lineRule="exact"/>
        <w:outlineLvl w:val="1"/>
        <w:rPr>
          <w:rFonts w:eastAsia="仿宋_GB2312"/>
          <w:bCs/>
          <w:spacing w:val="6"/>
          <w:kern w:val="36"/>
          <w:sz w:val="32"/>
          <w:szCs w:val="32"/>
        </w:rPr>
      </w:pPr>
    </w:p>
    <w:p>
      <w:pPr>
        <w:spacing w:line="560" w:lineRule="exact"/>
        <w:outlineLvl w:val="1"/>
        <w:rPr>
          <w:rFonts w:eastAsia="仿宋_GB2312"/>
          <w:bCs/>
          <w:spacing w:val="6"/>
          <w:kern w:val="36"/>
          <w:sz w:val="32"/>
          <w:szCs w:val="32"/>
        </w:rPr>
      </w:pPr>
    </w:p>
    <w:p>
      <w:pPr>
        <w:spacing w:line="560" w:lineRule="exact"/>
        <w:outlineLvl w:val="1"/>
        <w:rPr>
          <w:rFonts w:eastAsia="仿宋_GB2312"/>
          <w:bCs/>
          <w:spacing w:val="6"/>
          <w:kern w:val="36"/>
          <w:sz w:val="32"/>
          <w:szCs w:val="32"/>
        </w:rPr>
      </w:pPr>
    </w:p>
    <w:p>
      <w:pPr>
        <w:spacing w:line="560" w:lineRule="exact"/>
        <w:outlineLvl w:val="1"/>
        <w:rPr>
          <w:rFonts w:eastAsia="仿宋_GB2312"/>
          <w:bCs/>
          <w:spacing w:val="6"/>
          <w:kern w:val="36"/>
          <w:sz w:val="32"/>
          <w:szCs w:val="32"/>
        </w:rPr>
      </w:pPr>
    </w:p>
    <w:p>
      <w:pPr>
        <w:spacing w:line="560" w:lineRule="exact"/>
        <w:outlineLvl w:val="1"/>
        <w:rPr>
          <w:rFonts w:eastAsia="仿宋_GB2312"/>
          <w:bCs/>
          <w:spacing w:val="6"/>
          <w:kern w:val="36"/>
          <w:sz w:val="32"/>
          <w:szCs w:val="32"/>
        </w:rPr>
      </w:pPr>
    </w:p>
    <w:p>
      <w:pPr>
        <w:pStyle w:val="2"/>
        <w:spacing w:before="0" w:after="0" w:line="560" w:lineRule="exact"/>
        <w:rPr>
          <w:rFonts w:eastAsia="仿宋_GB2312"/>
          <w:bCs/>
          <w:spacing w:val="6"/>
          <w:kern w:val="36"/>
          <w:sz w:val="32"/>
          <w:szCs w:val="32"/>
        </w:rPr>
      </w:pPr>
    </w:p>
    <w:p>
      <w:pPr>
        <w:spacing w:line="560" w:lineRule="exact"/>
        <w:rPr>
          <w:rFonts w:eastAsia="仿宋_GB2312"/>
          <w:bCs/>
          <w:spacing w:val="6"/>
          <w:kern w:val="36"/>
          <w:sz w:val="32"/>
          <w:szCs w:val="32"/>
        </w:rPr>
      </w:pPr>
    </w:p>
    <w:p>
      <w:pPr>
        <w:pStyle w:val="2"/>
      </w:pPr>
    </w:p>
    <w:p/>
    <w:p>
      <w:pPr>
        <w:pStyle w:val="2"/>
      </w:pPr>
    </w:p>
    <w:p/>
    <w:p>
      <w:pPr>
        <w:pStyle w:val="2"/>
      </w:pPr>
    </w:p>
    <w:p/>
    <w:p/>
    <w:p>
      <w:pPr>
        <w:pStyle w:val="2"/>
        <w:spacing w:before="0" w:after="0" w:line="560" w:lineRule="exact"/>
      </w:pPr>
    </w:p>
    <w:p>
      <w:pPr>
        <w:spacing w:line="560" w:lineRule="exact"/>
        <w:outlineLvl w:val="1"/>
        <w:rPr>
          <w:rFonts w:eastAsia="仿宋_GB2312"/>
          <w:bCs/>
          <w:spacing w:val="6"/>
          <w:kern w:val="36"/>
          <w:sz w:val="32"/>
          <w:szCs w:val="32"/>
        </w:rPr>
      </w:pPr>
    </w:p>
    <w:p>
      <w:pPr>
        <w:spacing w:line="560" w:lineRule="exact"/>
        <w:outlineLvl w:val="1"/>
        <w:rPr>
          <w:rFonts w:eastAsia="仿宋_GB2312"/>
          <w:bCs/>
          <w:spacing w:val="6"/>
          <w:kern w:val="36"/>
          <w:sz w:val="32"/>
          <w:szCs w:val="32"/>
        </w:rPr>
      </w:pPr>
    </w:p>
    <w:p>
      <w:pPr>
        <w:spacing w:line="594" w:lineRule="exact"/>
        <w:ind w:firstLine="140" w:firstLineChars="50"/>
        <w:jc w:val="left"/>
        <w:rPr>
          <w:rFonts w:ascii="仿宋" w:hAnsi="仿宋" w:eastAsia="仿宋"/>
          <w:spacing w:val="6"/>
          <w:sz w:val="28"/>
          <w:szCs w:val="28"/>
        </w:rPr>
      </w:pPr>
      <w:r>
        <w:rPr>
          <w:rFonts w:ascii="仿宋" w:hAnsi="仿宋" w:eastAsia="仿宋"/>
          <w:sz w:val="28"/>
          <w:szCs w:val="28"/>
        </w:rPr>
        <w:pict>
          <v:line id="1029" o:spid="_x0000_s1027" o:spt="20" style="position:absolute;left:0pt;margin-left:0.6pt;margin-top:5.55pt;height:0pt;width:442.2pt;z-index:251659264;mso-width-relative:page;mso-height-relative:page;" coordsize="21600,21600">
            <v:path arrowok="t"/>
            <v:fill focussize="0,0"/>
            <v:stroke/>
            <v:imagedata o:title=""/>
            <o:lock v:ext="edit"/>
          </v:line>
        </w:pict>
      </w:r>
      <w:r>
        <w:rPr>
          <w:rFonts w:ascii="仿宋" w:hAnsi="仿宋" w:eastAsia="仿宋"/>
          <w:sz w:val="28"/>
          <w:szCs w:val="28"/>
        </w:rPr>
        <w:pict>
          <v:line id="1030" o:spid="_x0000_s1026" o:spt="20" style="position:absolute;left:0pt;margin-left:0.6pt;margin-top:32.7pt;height:0pt;width:442.2pt;z-index:251659264;mso-width-relative:page;mso-height-relative:page;" coordsize="21600,21600">
            <v:path arrowok="t"/>
            <v:fill focussize="0,0"/>
            <v:stroke/>
            <v:imagedata o:title=""/>
            <o:lock v:ext="edit"/>
          </v:line>
        </w:pict>
      </w:r>
      <w:r>
        <w:rPr>
          <w:rFonts w:ascii="仿宋" w:hAnsi="仿宋" w:eastAsia="仿宋"/>
          <w:spacing w:val="6"/>
          <w:sz w:val="28"/>
          <w:szCs w:val="28"/>
        </w:rPr>
        <w:t xml:space="preserve">汉中市交通运输局办公室             </w:t>
      </w:r>
      <w:r>
        <w:rPr>
          <w:rFonts w:hint="eastAsia" w:ascii="仿宋" w:hAnsi="仿宋" w:eastAsia="仿宋"/>
          <w:spacing w:val="6"/>
          <w:sz w:val="28"/>
          <w:szCs w:val="28"/>
        </w:rPr>
        <w:t xml:space="preserve">   </w:t>
      </w:r>
      <w:r>
        <w:rPr>
          <w:rFonts w:eastAsia="仿宋"/>
          <w:spacing w:val="6"/>
          <w:sz w:val="28"/>
          <w:szCs w:val="28"/>
        </w:rPr>
        <w:t xml:space="preserve"> 202</w:t>
      </w:r>
      <w:r>
        <w:rPr>
          <w:rFonts w:hint="eastAsia" w:eastAsia="仿宋"/>
          <w:spacing w:val="6"/>
          <w:sz w:val="28"/>
          <w:szCs w:val="28"/>
        </w:rPr>
        <w:t>3</w:t>
      </w:r>
      <w:r>
        <w:rPr>
          <w:rFonts w:hAnsi="仿宋" w:eastAsia="仿宋"/>
          <w:spacing w:val="6"/>
          <w:sz w:val="28"/>
          <w:szCs w:val="28"/>
        </w:rPr>
        <w:t>年</w:t>
      </w:r>
      <w:r>
        <w:rPr>
          <w:rFonts w:hint="eastAsia" w:eastAsia="仿宋"/>
          <w:spacing w:val="6"/>
          <w:sz w:val="28"/>
          <w:szCs w:val="28"/>
        </w:rPr>
        <w:t xml:space="preserve"> </w:t>
      </w:r>
      <w:r>
        <w:rPr>
          <w:rFonts w:hAnsi="仿宋" w:eastAsia="仿宋"/>
          <w:spacing w:val="6"/>
          <w:sz w:val="28"/>
          <w:szCs w:val="28"/>
        </w:rPr>
        <w:t>月</w:t>
      </w:r>
      <w:r>
        <w:rPr>
          <w:rFonts w:hint="eastAsia" w:eastAsia="仿宋"/>
          <w:spacing w:val="6"/>
          <w:sz w:val="28"/>
          <w:szCs w:val="28"/>
        </w:rPr>
        <w:t xml:space="preserve">   </w:t>
      </w:r>
      <w:r>
        <w:rPr>
          <w:rFonts w:hAnsi="仿宋" w:eastAsia="仿宋"/>
          <w:spacing w:val="6"/>
          <w:sz w:val="28"/>
          <w:szCs w:val="28"/>
        </w:rPr>
        <w:t>日</w:t>
      </w:r>
      <w:r>
        <w:rPr>
          <w:rFonts w:ascii="仿宋" w:hAnsi="仿宋" w:eastAsia="仿宋"/>
          <w:spacing w:val="6"/>
          <w:sz w:val="28"/>
          <w:szCs w:val="28"/>
        </w:rPr>
        <w:t>印发</w:t>
      </w:r>
    </w:p>
    <w:sectPr>
      <w:headerReference r:id="rId6" w:type="default"/>
      <w:footerReference r:id="rId7" w:type="default"/>
      <w:footerReference r:id="rId8"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rect id="4097" o:spid="_x0000_s2053"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2"/>
                  <w:rPr>
                    <w:rFonts w:eastAsia="仿宋_GB2312"/>
                    <w:sz w:val="28"/>
                    <w:szCs w:val="28"/>
                  </w:rPr>
                </w:pPr>
                <w:r>
                  <w:rPr>
                    <w:rFonts w:eastAsia="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10</w:t>
                </w:r>
                <w:r>
                  <w:rPr>
                    <w:rFonts w:eastAsia="仿宋_GB2312"/>
                    <w:sz w:val="28"/>
                    <w:szCs w:val="28"/>
                  </w:rPr>
                  <w:fldChar w:fldCharType="end"/>
                </w:r>
                <w:r>
                  <w:rPr>
                    <w:rFonts w:eastAsia="仿宋_GB2312"/>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rect id="4098" o:spid="_x0000_s2052"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2"/>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rect>
      </w:pic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rect id="4099" o:spid="_x0000_s2051"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2"/>
                </w:pPr>
                <w:r>
                  <w:t xml:space="preserve">— </w:t>
                </w:r>
                <w:r>
                  <w:fldChar w:fldCharType="begin"/>
                </w:r>
                <w:r>
                  <w:instrText xml:space="preserve"> PAGE  \* MERGEFORMAT </w:instrText>
                </w:r>
                <w:r>
                  <w:fldChar w:fldCharType="separate"/>
                </w:r>
                <w:r>
                  <w:t>28</w:t>
                </w:r>
                <w:r>
                  <w:fldChar w:fldCharType="end"/>
                </w:r>
                <w:r>
                  <w:t xml:space="preserve"> —</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pict>
        <v:rect id="4101" o:spid="_x0000_s2049"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pict>
        <v:rect id="4100" o:spid="_x0000_s2050"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72954"/>
    <w:multiLevelType w:val="multilevel"/>
    <w:tmpl w:val="5ED72954"/>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8D794B"/>
    <w:rsid w:val="0008491D"/>
    <w:rsid w:val="000D2939"/>
    <w:rsid w:val="00111724"/>
    <w:rsid w:val="0011692D"/>
    <w:rsid w:val="001907CA"/>
    <w:rsid w:val="001E3CDF"/>
    <w:rsid w:val="00221968"/>
    <w:rsid w:val="002C7131"/>
    <w:rsid w:val="00372C7A"/>
    <w:rsid w:val="003F6F8C"/>
    <w:rsid w:val="00450C87"/>
    <w:rsid w:val="004732AD"/>
    <w:rsid w:val="004C120F"/>
    <w:rsid w:val="00540BBC"/>
    <w:rsid w:val="00563B89"/>
    <w:rsid w:val="00597E70"/>
    <w:rsid w:val="006167E5"/>
    <w:rsid w:val="00662A65"/>
    <w:rsid w:val="006B723C"/>
    <w:rsid w:val="006C4F81"/>
    <w:rsid w:val="007373E8"/>
    <w:rsid w:val="00742FC8"/>
    <w:rsid w:val="00793456"/>
    <w:rsid w:val="007B4A11"/>
    <w:rsid w:val="0082746E"/>
    <w:rsid w:val="008959BF"/>
    <w:rsid w:val="008D794B"/>
    <w:rsid w:val="00912FF5"/>
    <w:rsid w:val="00A43ABA"/>
    <w:rsid w:val="00A44020"/>
    <w:rsid w:val="00A71BD3"/>
    <w:rsid w:val="00AE21D0"/>
    <w:rsid w:val="00BE081A"/>
    <w:rsid w:val="00C71374"/>
    <w:rsid w:val="00C751D4"/>
    <w:rsid w:val="00CA67BF"/>
    <w:rsid w:val="00D72711"/>
    <w:rsid w:val="00DA083A"/>
    <w:rsid w:val="00DC11D2"/>
    <w:rsid w:val="00DD4301"/>
    <w:rsid w:val="00DE4E40"/>
    <w:rsid w:val="00E10914"/>
    <w:rsid w:val="00E33937"/>
    <w:rsid w:val="00E94FA7"/>
    <w:rsid w:val="00EE75A6"/>
    <w:rsid w:val="00F156F7"/>
    <w:rsid w:val="00F623B2"/>
    <w:rsid w:val="03AE1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340" w:after="330" w:line="576" w:lineRule="auto"/>
      <w:outlineLvl w:val="0"/>
    </w:pPr>
    <w:rPr>
      <w:b/>
      <w:kern w:val="44"/>
      <w:sz w:val="44"/>
    </w:rPr>
  </w:style>
  <w:style w:type="paragraph" w:styleId="3">
    <w:name w:val="heading 2"/>
    <w:basedOn w:val="1"/>
    <w:next w:val="1"/>
    <w:link w:val="32"/>
    <w:qFormat/>
    <w:uiPriority w:val="0"/>
    <w:pPr>
      <w:keepNext/>
      <w:keepLines/>
      <w:spacing w:before="260" w:after="260" w:line="412" w:lineRule="auto"/>
      <w:outlineLvl w:val="1"/>
    </w:pPr>
    <w:rPr>
      <w:rFonts w:ascii="Cambria" w:hAnsi="Cambria"/>
      <w:b/>
      <w:bCs/>
      <w:sz w:val="32"/>
      <w:szCs w:val="32"/>
    </w:rPr>
  </w:style>
  <w:style w:type="paragraph" w:styleId="4">
    <w:name w:val="heading 3"/>
    <w:basedOn w:val="1"/>
    <w:next w:val="1"/>
    <w:link w:val="27"/>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5"/>
    <w:qFormat/>
    <w:uiPriority w:val="0"/>
    <w:pPr>
      <w:shd w:val="clear" w:color="auto" w:fill="000080"/>
    </w:pPr>
  </w:style>
  <w:style w:type="paragraph" w:styleId="6">
    <w:name w:val="Body Text"/>
    <w:basedOn w:val="1"/>
    <w:link w:val="33"/>
    <w:qFormat/>
    <w:uiPriority w:val="0"/>
    <w:rPr>
      <w:b/>
      <w:bCs/>
      <w:sz w:val="28"/>
      <w:szCs w:val="24"/>
    </w:rPr>
  </w:style>
  <w:style w:type="paragraph" w:styleId="7">
    <w:name w:val="Body Text Indent"/>
    <w:basedOn w:val="1"/>
    <w:link w:val="38"/>
    <w:uiPriority w:val="0"/>
    <w:pPr>
      <w:ind w:firstLine="600" w:firstLineChars="200"/>
    </w:pPr>
    <w:rPr>
      <w:rFonts w:ascii="仿宋_GB2312" w:eastAsia="仿宋_GB2312"/>
      <w:bCs/>
      <w:sz w:val="30"/>
      <w:szCs w:val="24"/>
    </w:rPr>
  </w:style>
  <w:style w:type="paragraph" w:styleId="8">
    <w:name w:val="Plain Text"/>
    <w:basedOn w:val="1"/>
    <w:link w:val="39"/>
    <w:uiPriority w:val="0"/>
    <w:rPr>
      <w:rFonts w:ascii="宋体" w:hAnsi="Courier New"/>
      <w:szCs w:val="21"/>
    </w:rPr>
  </w:style>
  <w:style w:type="paragraph" w:styleId="9">
    <w:name w:val="Date"/>
    <w:basedOn w:val="1"/>
    <w:next w:val="1"/>
    <w:link w:val="24"/>
    <w:qFormat/>
    <w:uiPriority w:val="0"/>
    <w:pPr>
      <w:ind w:left="100" w:leftChars="2500"/>
    </w:pPr>
  </w:style>
  <w:style w:type="paragraph" w:styleId="10">
    <w:name w:val="Body Text Indent 2"/>
    <w:basedOn w:val="1"/>
    <w:link w:val="40"/>
    <w:qFormat/>
    <w:uiPriority w:val="0"/>
    <w:pPr>
      <w:spacing w:after="120" w:line="480" w:lineRule="auto"/>
      <w:ind w:left="420" w:leftChars="200"/>
    </w:pPr>
    <w:rPr>
      <w:szCs w:val="24"/>
    </w:rPr>
  </w:style>
  <w:style w:type="paragraph" w:styleId="11">
    <w:name w:val="Balloon Text"/>
    <w:basedOn w:val="1"/>
    <w:link w:val="30"/>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rPr>
  </w:style>
  <w:style w:type="paragraph" w:styleId="13">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29"/>
    <w:qFormat/>
    <w:uiPriority w:val="0"/>
    <w:pPr>
      <w:spacing w:before="240" w:after="60" w:line="312" w:lineRule="auto"/>
      <w:jc w:val="center"/>
      <w:outlineLvl w:val="1"/>
    </w:pPr>
    <w:rPr>
      <w:rFonts w:ascii="Cambria" w:hAnsi="Cambria"/>
      <w:b/>
      <w:bCs/>
      <w:kern w:val="28"/>
      <w:sz w:val="32"/>
      <w:szCs w:val="32"/>
    </w:rPr>
  </w:style>
  <w:style w:type="paragraph" w:styleId="15">
    <w:name w:val="Body Text Indent 3"/>
    <w:basedOn w:val="1"/>
    <w:link w:val="41"/>
    <w:qFormat/>
    <w:uiPriority w:val="0"/>
    <w:pPr>
      <w:spacing w:after="120"/>
      <w:ind w:left="420" w:leftChars="200"/>
    </w:pPr>
    <w:rPr>
      <w:sz w:val="16"/>
      <w:szCs w:val="16"/>
    </w:rPr>
  </w:style>
  <w:style w:type="paragraph" w:styleId="16">
    <w:name w:val="Normal (Web)"/>
    <w:basedOn w:val="1"/>
    <w:qFormat/>
    <w:uiPriority w:val="0"/>
    <w:pPr>
      <w:widowControl/>
      <w:spacing w:before="240" w:after="240"/>
      <w:ind w:firstLine="480"/>
      <w:jc w:val="left"/>
    </w:pPr>
    <w:rPr>
      <w:rFonts w:ascii="宋体" w:hAnsi="宋体" w:cs="宋体"/>
      <w:kern w:val="0"/>
      <w:sz w:val="24"/>
      <w:szCs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qFormat/>
    <w:uiPriority w:val="0"/>
  </w:style>
  <w:style w:type="character" w:styleId="22">
    <w:name w:val="Hyperlink"/>
    <w:qFormat/>
    <w:uiPriority w:val="0"/>
    <w:rPr>
      <w:color w:val="0000FF"/>
      <w:u w:val="single"/>
    </w:rPr>
  </w:style>
  <w:style w:type="character" w:customStyle="1" w:styleId="23">
    <w:name w:val="页脚 Char"/>
    <w:link w:val="12"/>
    <w:qFormat/>
    <w:uiPriority w:val="0"/>
    <w:rPr>
      <w:kern w:val="2"/>
      <w:sz w:val="18"/>
    </w:rPr>
  </w:style>
  <w:style w:type="character" w:customStyle="1" w:styleId="24">
    <w:name w:val="日期 Char"/>
    <w:link w:val="9"/>
    <w:qFormat/>
    <w:uiPriority w:val="0"/>
    <w:rPr>
      <w:kern w:val="2"/>
      <w:sz w:val="21"/>
    </w:rPr>
  </w:style>
  <w:style w:type="character" w:customStyle="1" w:styleId="25">
    <w:name w:val="文档结构图 Char"/>
    <w:link w:val="5"/>
    <w:qFormat/>
    <w:uiPriority w:val="0"/>
    <w:rPr>
      <w:kern w:val="2"/>
      <w:sz w:val="21"/>
      <w:shd w:val="clear" w:color="auto" w:fill="000080"/>
    </w:rPr>
  </w:style>
  <w:style w:type="character" w:customStyle="1" w:styleId="26">
    <w:name w:val="Footer Char_7b86b540-d455-40f2-8ec5-9ff2b1b10d12"/>
    <w:qFormat/>
    <w:uiPriority w:val="0"/>
    <w:rPr>
      <w:rFonts w:ascii="Times New Roman" w:hAnsi="Times New Roman" w:eastAsia="宋体" w:cs="Times New Roman"/>
      <w:sz w:val="18"/>
      <w:szCs w:val="18"/>
    </w:rPr>
  </w:style>
  <w:style w:type="character" w:customStyle="1" w:styleId="27">
    <w:name w:val="标题 3 Char"/>
    <w:link w:val="4"/>
    <w:qFormat/>
    <w:uiPriority w:val="0"/>
    <w:rPr>
      <w:b/>
      <w:bCs/>
      <w:kern w:val="2"/>
      <w:sz w:val="32"/>
      <w:szCs w:val="32"/>
    </w:rPr>
  </w:style>
  <w:style w:type="character" w:customStyle="1" w:styleId="28">
    <w:name w:val="标题 1 Char"/>
    <w:link w:val="2"/>
    <w:qFormat/>
    <w:uiPriority w:val="0"/>
    <w:rPr>
      <w:b/>
      <w:kern w:val="44"/>
      <w:sz w:val="44"/>
    </w:rPr>
  </w:style>
  <w:style w:type="character" w:customStyle="1" w:styleId="29">
    <w:name w:val="副标题 Char"/>
    <w:link w:val="14"/>
    <w:qFormat/>
    <w:uiPriority w:val="0"/>
    <w:rPr>
      <w:rFonts w:ascii="Cambria" w:hAnsi="Cambria"/>
      <w:b/>
      <w:bCs/>
      <w:kern w:val="28"/>
      <w:sz w:val="32"/>
      <w:szCs w:val="32"/>
    </w:rPr>
  </w:style>
  <w:style w:type="character" w:customStyle="1" w:styleId="30">
    <w:name w:val="批注框文本 Char"/>
    <w:link w:val="11"/>
    <w:uiPriority w:val="0"/>
    <w:rPr>
      <w:kern w:val="2"/>
      <w:sz w:val="18"/>
      <w:szCs w:val="18"/>
    </w:rPr>
  </w:style>
  <w:style w:type="character" w:customStyle="1" w:styleId="31">
    <w:name w:val="Char Char2"/>
    <w:qFormat/>
    <w:uiPriority w:val="0"/>
    <w:rPr>
      <w:rFonts w:ascii="宋体" w:hAnsi="Courier New" w:eastAsia="宋体" w:cs="Courier New"/>
      <w:kern w:val="2"/>
      <w:sz w:val="21"/>
      <w:szCs w:val="21"/>
      <w:lang w:val="en-US" w:eastAsia="zh-CN" w:bidi="ar-SA"/>
    </w:rPr>
  </w:style>
  <w:style w:type="character" w:customStyle="1" w:styleId="32">
    <w:name w:val="标题 2 Char"/>
    <w:link w:val="3"/>
    <w:qFormat/>
    <w:uiPriority w:val="0"/>
    <w:rPr>
      <w:rFonts w:ascii="Cambria" w:hAnsi="Cambria" w:cs="宋体"/>
      <w:b/>
      <w:bCs/>
      <w:kern w:val="2"/>
      <w:sz w:val="32"/>
      <w:szCs w:val="32"/>
    </w:rPr>
  </w:style>
  <w:style w:type="character" w:customStyle="1" w:styleId="33">
    <w:name w:val="正文文本 Char"/>
    <w:link w:val="6"/>
    <w:qFormat/>
    <w:uiPriority w:val="0"/>
    <w:rPr>
      <w:b/>
      <w:bCs/>
      <w:kern w:val="2"/>
      <w:sz w:val="28"/>
      <w:szCs w:val="24"/>
    </w:rPr>
  </w:style>
  <w:style w:type="character" w:customStyle="1" w:styleId="34">
    <w:name w:val="页眉 Char"/>
    <w:link w:val="13"/>
    <w:qFormat/>
    <w:uiPriority w:val="0"/>
    <w:rPr>
      <w:kern w:val="2"/>
      <w:sz w:val="18"/>
    </w:rPr>
  </w:style>
  <w:style w:type="character" w:customStyle="1" w:styleId="35">
    <w:name w:val="No Spacing Char"/>
    <w:link w:val="36"/>
    <w:qFormat/>
    <w:uiPriority w:val="0"/>
    <w:rPr>
      <w:rFonts w:eastAsia="Times New Roman"/>
      <w:kern w:val="2"/>
      <w:sz w:val="22"/>
      <w:szCs w:val="22"/>
      <w:lang w:val="en-US" w:eastAsia="zh-CN" w:bidi="ar-SA"/>
    </w:rPr>
  </w:style>
  <w:style w:type="paragraph" w:customStyle="1" w:styleId="36">
    <w:name w:val="无间隔1"/>
    <w:link w:val="35"/>
    <w:qFormat/>
    <w:uiPriority w:val="0"/>
    <w:rPr>
      <w:rFonts w:ascii="Times New Roman" w:hAnsi="Times New Roman" w:eastAsia="Times New Roman" w:cs="Times New Roman"/>
      <w:kern w:val="2"/>
      <w:sz w:val="22"/>
      <w:szCs w:val="22"/>
      <w:lang w:val="en-US" w:eastAsia="zh-CN" w:bidi="ar-SA"/>
    </w:rPr>
  </w:style>
  <w:style w:type="character" w:customStyle="1" w:styleId="37">
    <w:name w:val="Heading 1 Char_6e3a6998-254e-46bd-afc9-e6d86cd330c4"/>
    <w:qFormat/>
    <w:uiPriority w:val="0"/>
    <w:rPr>
      <w:rFonts w:ascii="Times New Roman" w:hAnsi="Times New Roman" w:eastAsia="宋体" w:cs="Times New Roman"/>
      <w:b/>
      <w:bCs/>
      <w:kern w:val="44"/>
      <w:sz w:val="44"/>
      <w:szCs w:val="44"/>
    </w:rPr>
  </w:style>
  <w:style w:type="character" w:customStyle="1" w:styleId="38">
    <w:name w:val="正文文本缩进 Char"/>
    <w:link w:val="7"/>
    <w:qFormat/>
    <w:uiPriority w:val="0"/>
    <w:rPr>
      <w:rFonts w:ascii="仿宋_GB2312" w:eastAsia="仿宋_GB2312"/>
      <w:bCs/>
      <w:kern w:val="2"/>
      <w:sz w:val="30"/>
      <w:szCs w:val="24"/>
    </w:rPr>
  </w:style>
  <w:style w:type="character" w:customStyle="1" w:styleId="39">
    <w:name w:val="纯文本 Char"/>
    <w:link w:val="8"/>
    <w:qFormat/>
    <w:uiPriority w:val="0"/>
    <w:rPr>
      <w:rFonts w:ascii="宋体" w:hAnsi="Courier New" w:cs="Courier New"/>
      <w:kern w:val="2"/>
      <w:sz w:val="21"/>
      <w:szCs w:val="21"/>
    </w:rPr>
  </w:style>
  <w:style w:type="character" w:customStyle="1" w:styleId="40">
    <w:name w:val="正文文本缩进 2 Char"/>
    <w:link w:val="10"/>
    <w:qFormat/>
    <w:uiPriority w:val="0"/>
    <w:rPr>
      <w:kern w:val="2"/>
      <w:sz w:val="21"/>
      <w:szCs w:val="24"/>
    </w:rPr>
  </w:style>
  <w:style w:type="character" w:customStyle="1" w:styleId="41">
    <w:name w:val="正文文本缩进 3 Char"/>
    <w:link w:val="15"/>
    <w:qFormat/>
    <w:uiPriority w:val="0"/>
    <w:rPr>
      <w:kern w:val="2"/>
      <w:sz w:val="16"/>
      <w:szCs w:val="16"/>
    </w:rPr>
  </w:style>
  <w:style w:type="paragraph" w:customStyle="1" w:styleId="42">
    <w:name w:val="p0"/>
    <w:basedOn w:val="1"/>
    <w:qFormat/>
    <w:uiPriority w:val="0"/>
    <w:pPr>
      <w:widowControl/>
    </w:pPr>
    <w:rPr>
      <w:kern w:val="0"/>
      <w:szCs w:val="21"/>
    </w:rPr>
  </w:style>
  <w:style w:type="paragraph" w:customStyle="1" w:styleId="43">
    <w:name w:val="Char Char Char Char Char1 Char"/>
    <w:basedOn w:val="5"/>
    <w:qFormat/>
    <w:uiPriority w:val="0"/>
  </w:style>
  <w:style w:type="paragraph" w:customStyle="1" w:styleId="44">
    <w:name w:val="Char"/>
    <w:basedOn w:val="1"/>
    <w:qFormat/>
    <w:uiPriority w:val="0"/>
    <w:pPr>
      <w:widowControl/>
      <w:spacing w:after="160" w:line="240" w:lineRule="exact"/>
      <w:jc w:val="left"/>
    </w:pPr>
    <w:rPr>
      <w:rFonts w:ascii="宋体" w:hAnsi="宋体"/>
      <w:b/>
      <w:kern w:val="0"/>
      <w:sz w:val="28"/>
      <w:szCs w:val="28"/>
      <w:lang w:eastAsia="en-US"/>
    </w:rPr>
  </w:style>
  <w:style w:type="paragraph" w:customStyle="1" w:styleId="45">
    <w:name w:val="样式1"/>
    <w:basedOn w:val="1"/>
    <w:qFormat/>
    <w:uiPriority w:val="0"/>
  </w:style>
  <w:style w:type="paragraph" w:customStyle="1" w:styleId="46">
    <w:name w:val="一级无"/>
    <w:basedOn w:val="47"/>
    <w:qFormat/>
    <w:uiPriority w:val="0"/>
    <w:rPr>
      <w:rFonts w:ascii="宋体" w:eastAsia="宋体"/>
    </w:rPr>
  </w:style>
  <w:style w:type="paragraph" w:customStyle="1" w:styleId="47">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8">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49">
    <w:name w:val="正文格式"/>
    <w:qFormat/>
    <w:uiPriority w:val="0"/>
    <w:pPr>
      <w:spacing w:line="360" w:lineRule="auto"/>
      <w:ind w:firstLine="200" w:firstLineChars="200"/>
    </w:pPr>
    <w:rPr>
      <w:rFonts w:ascii="Times New Roman" w:hAnsi="Times New Roman" w:eastAsia="Arial Unicode MS" w:cs="Times New Roman"/>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2049"/>
    <customShpInfo spid="_x0000_s2050"/>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86235-5A53-45CE-9FCD-99699DD2CF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11411</Words>
  <Characters>11675</Characters>
  <Lines>87</Lines>
  <Paragraphs>24</Paragraphs>
  <TotalTime>264</TotalTime>
  <ScaleCrop>false</ScaleCrop>
  <LinksUpToDate>false</LinksUpToDate>
  <CharactersWithSpaces>11933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2021-04-23T02:34:00Z</dcterms:created>
  <dc:creator>都金钊</dc:creator>
  <cp:lastModifiedBy>傻旦</cp:lastModifiedBy>
  <cp:lastPrinted>2023-06-05T01:24:00Z</cp:lastPrinted>
  <dcterms:modified xsi:type="dcterms:W3CDTF">2024-07-03T09:19:59Z</dcterms:modified>
  <dc:title>河北省交通运输与邮政合作发展实施意见出台</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0A62E6BD02134C8284859E7D17DD5738_13</vt:lpwstr>
  </property>
</Properties>
</file>